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7" w:line="252" w:lineRule="auto"/>
        <w:ind w:hanging="10" w:left="572" w:right="115"/>
        <w:jc w:val="center"/>
        <w:rPr>
          <w:b w:val="1"/>
          <w:sz w:val="24"/>
        </w:rPr>
      </w:pPr>
      <w:r>
        <w:rPr>
          <w:b w:val="1"/>
          <w:sz w:val="24"/>
        </w:rPr>
        <w:t xml:space="preserve">Муниципальное бюджетное общеобразовательное учреждение </w:t>
      </w:r>
    </w:p>
    <w:p w14:paraId="02000000">
      <w:pPr>
        <w:spacing w:after="17" w:line="252" w:lineRule="auto"/>
        <w:ind w:hanging="10" w:left="572" w:right="115"/>
        <w:jc w:val="center"/>
        <w:rPr>
          <w:b w:val="1"/>
          <w:sz w:val="24"/>
        </w:rPr>
      </w:pPr>
      <w:r>
        <w:rPr>
          <w:b w:val="1"/>
          <w:sz w:val="24"/>
        </w:rPr>
        <w:t xml:space="preserve">«Причулымская основная общеобразовательная школа» </w:t>
      </w:r>
    </w:p>
    <w:p w14:paraId="03000000">
      <w:pPr>
        <w:spacing w:after="17" w:line="252" w:lineRule="auto"/>
        <w:ind w:hanging="10" w:left="572" w:right="115"/>
        <w:jc w:val="center"/>
        <w:rPr>
          <w:b w:val="1"/>
          <w:sz w:val="24"/>
        </w:rPr>
      </w:pPr>
      <w:r>
        <w:rPr>
          <w:b w:val="1"/>
          <w:sz w:val="24"/>
        </w:rPr>
        <w:t>Зырянского района</w:t>
      </w:r>
    </w:p>
    <w:tbl>
      <w:tblPr>
        <w:tblStyle w:val="Style_1"/>
        <w:tblW w:type="auto" w:w="0"/>
        <w:tblInd w:type="dxa" w:w="572"/>
        <w:tblLayout w:type="fixed"/>
      </w:tblPr>
      <w:tblGrid>
        <w:gridCol w:w="4672"/>
        <w:gridCol w:w="4673"/>
      </w:tblGrid>
      <w:tr>
        <w:tc>
          <w:tcPr>
            <w:tcW w:type="dxa" w:w="4672"/>
            <w:shd w:fill="auto" w:val="clear"/>
          </w:tcPr>
          <w:p w14:paraId="04000000">
            <w:pPr>
              <w:spacing w:after="17" w:line="252" w:lineRule="auto"/>
              <w:ind w:right="115"/>
              <w:jc w:val="left"/>
              <w:rPr>
                <w:sz w:val="24"/>
              </w:rPr>
            </w:pPr>
            <w:r>
              <w:rPr>
                <w:sz w:val="24"/>
              </w:rPr>
              <w:t>СОГЛАСОВАНО</w:t>
            </w:r>
          </w:p>
          <w:p w14:paraId="05000000">
            <w:pPr>
              <w:spacing w:after="17" w:line="252" w:lineRule="auto"/>
              <w:ind w:right="115"/>
              <w:jc w:val="left"/>
              <w:rPr>
                <w:sz w:val="24"/>
              </w:rPr>
            </w:pPr>
            <w:r>
              <w:rPr>
                <w:sz w:val="24"/>
              </w:rPr>
              <w:t>Педагогическим советом</w:t>
            </w:r>
          </w:p>
          <w:p w14:paraId="06000000">
            <w:pPr>
              <w:spacing w:after="17" w:line="252" w:lineRule="auto"/>
              <w:ind w:right="115"/>
              <w:jc w:val="left"/>
              <w:rPr>
                <w:sz w:val="24"/>
              </w:rPr>
            </w:pPr>
            <w:r>
              <w:rPr>
                <w:sz w:val="24"/>
              </w:rPr>
              <w:t>Протокол от 15.02.2024 г. № 1</w:t>
            </w:r>
          </w:p>
        </w:tc>
        <w:tc>
          <w:tcPr>
            <w:tcW w:type="dxa" w:w="4673"/>
            <w:shd w:fill="auto" w:val="clear"/>
          </w:tcPr>
          <w:p w14:paraId="07000000">
            <w:pPr>
              <w:spacing w:after="17" w:line="252" w:lineRule="auto"/>
              <w:ind w:right="115"/>
              <w:jc w:val="right"/>
              <w:rPr>
                <w:sz w:val="24"/>
              </w:rPr>
            </w:pPr>
            <w:r>
              <w:rPr>
                <w:sz w:val="24"/>
              </w:rPr>
              <w:t>УТВЕРЖДЕНО</w:t>
            </w:r>
          </w:p>
          <w:p w14:paraId="08000000">
            <w:pPr>
              <w:spacing w:after="17" w:line="252" w:lineRule="auto"/>
              <w:ind w:right="115"/>
              <w:jc w:val="right"/>
              <w:rPr>
                <w:sz w:val="24"/>
              </w:rPr>
            </w:pPr>
            <w:r>
              <w:rPr>
                <w:sz w:val="24"/>
              </w:rPr>
              <w:t>Приказом от 15.02.2024 №28</w:t>
            </w:r>
          </w:p>
          <w:p w14:paraId="09000000">
            <w:pPr>
              <w:spacing w:after="17" w:line="252" w:lineRule="auto"/>
              <w:ind w:right="115"/>
              <w:jc w:val="right"/>
              <w:rPr>
                <w:sz w:val="24"/>
              </w:rPr>
            </w:pPr>
            <w:r>
              <w:rPr>
                <w:sz w:val="24"/>
              </w:rPr>
              <w:t>Директор ________Самохвалова И. Н.</w:t>
            </w:r>
          </w:p>
        </w:tc>
      </w:tr>
    </w:tbl>
    <w:p w14:paraId="0A000000">
      <w:pPr>
        <w:ind/>
        <w:jc w:val="center"/>
        <w:outlineLvl w:val="1"/>
        <w:rPr>
          <w:b w:val="1"/>
          <w:color w:val="000000"/>
          <w:sz w:val="36"/>
        </w:rPr>
      </w:pPr>
    </w:p>
    <w:p w14:paraId="0B000000">
      <w:pPr>
        <w:ind/>
        <w:jc w:val="center"/>
        <w:outlineLvl w:val="1"/>
        <w:rPr>
          <w:b w:val="1"/>
          <w:color w:val="000000"/>
          <w:sz w:val="24"/>
        </w:rPr>
      </w:pPr>
      <w:r>
        <w:rPr>
          <w:b w:val="1"/>
          <w:color w:val="000000"/>
          <w:sz w:val="24"/>
        </w:rPr>
        <w:t>Положение</w:t>
      </w:r>
      <w:r>
        <w:rPr>
          <w:b w:val="1"/>
          <w:color w:val="000000"/>
          <w:sz w:val="24"/>
        </w:rPr>
        <w:br/>
      </w:r>
      <w:r>
        <w:rPr>
          <w:b w:val="1"/>
          <w:color w:val="000000"/>
          <w:sz w:val="24"/>
        </w:rPr>
        <w:t xml:space="preserve">об использовании мобильных (сотовых) телефонов и других средств коммуникации </w:t>
      </w:r>
    </w:p>
    <w:p w14:paraId="0C000000">
      <w:pPr>
        <w:ind/>
        <w:jc w:val="center"/>
        <w:outlineLvl w:val="1"/>
        <w:rPr>
          <w:b w:val="1"/>
          <w:color w:val="000000"/>
          <w:sz w:val="24"/>
        </w:rPr>
      </w:pPr>
      <w:r>
        <w:rPr>
          <w:b w:val="1"/>
          <w:color w:val="000000"/>
          <w:sz w:val="24"/>
        </w:rPr>
        <w:t xml:space="preserve">в </w:t>
      </w:r>
      <w:r>
        <w:rPr>
          <w:b w:val="1"/>
          <w:color w:val="000000"/>
          <w:sz w:val="24"/>
        </w:rPr>
        <w:t>МБОУ «Причулымская ООШ»</w:t>
      </w:r>
    </w:p>
    <w:p w14:paraId="0D000000">
      <w:pPr>
        <w:ind w:firstLine="426" w:left="0"/>
        <w:rPr>
          <w:b w:val="1"/>
          <w:color w:val="000000"/>
          <w:sz w:val="24"/>
        </w:rPr>
      </w:pPr>
      <w:r>
        <w:rPr>
          <w:b w:val="1"/>
          <w:color w:val="000000"/>
          <w:sz w:val="24"/>
        </w:rPr>
        <w:t>1. Общие положения</w:t>
      </w:r>
    </w:p>
    <w:p w14:paraId="0E000000">
      <w:pPr>
        <w:spacing w:line="276" w:lineRule="auto"/>
        <w:ind w:firstLine="426" w:left="0"/>
        <w:rPr>
          <w:color w:val="000000"/>
          <w:sz w:val="24"/>
        </w:rPr>
      </w:pPr>
      <w:r>
        <w:rPr>
          <w:color w:val="000000"/>
          <w:sz w:val="24"/>
        </w:rPr>
        <w:t xml:space="preserve">1.1. Настоящее Положение об использовании мобильных (сотовых) телефонов и других средств коммуникации в школе разработано в соответствии с Федеральным Законом №273-ФЗ от 29.12.2012 года «Об образовании в Российской Федерации» с изменениями от 25 декабря 2023 года, Федеральным законом № 152-ФЗ от 27.07.2006 года «О персональных данных» с изменениями от 6 февраля 2023 года,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Настоящее Положение об использовании мобильных (сотовых) телефонов и других средств коммуникации в школе разработано в соответствии с Федеральным Законом №273-ФЗ от 29.12.2012 года «Об образовании в Российской Федерации» с изменениями от 25 декабря 2023 года, Федеральным законом № 152-ФЗ от 27.07.2006 года «О персональных данных» с изменениями от 6 февраля 2023 года,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14:paraId="0F000000">
      <w:pPr>
        <w:spacing w:line="276" w:lineRule="auto"/>
        <w:ind w:firstLine="426" w:left="0"/>
        <w:rPr>
          <w:color w:val="000000"/>
          <w:sz w:val="24"/>
        </w:rPr>
      </w:pPr>
      <w:r>
        <w:rPr>
          <w:color w:val="000000"/>
          <w:sz w:val="24"/>
        </w:rPr>
        <w:t xml:space="preserve">1.2. Данное Положение об использовании мобильных телефонов и других средств коммуникации определяет условия использования средств мобильной связи и электронных устройств в </w:t>
      </w:r>
      <w:r>
        <w:rPr>
          <w:color w:val="000000"/>
          <w:sz w:val="24"/>
        </w:rPr>
        <w:t xml:space="preserve">МБОУ «Причулымская ООШ» </w:t>
      </w:r>
      <w:r>
        <w:rPr>
          <w:color w:val="000000"/>
          <w:sz w:val="24"/>
        </w:rPr>
        <w:t>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14:paraId="10000000">
      <w:pPr>
        <w:spacing w:line="276" w:lineRule="auto"/>
        <w:ind w:firstLine="426" w:left="0"/>
        <w:rPr>
          <w:color w:val="000000"/>
          <w:sz w:val="24"/>
        </w:rPr>
      </w:pPr>
      <w:r>
        <w:rPr>
          <w:color w:val="000000"/>
          <w:sz w:val="24"/>
        </w:rPr>
        <w:t xml:space="preserve"> 1.3. Согласно СанПиН 2.4.3648-20 мобильные средства связи не используются в целях образовательной деятельности обучающихся. </w:t>
      </w:r>
    </w:p>
    <w:p w14:paraId="11000000">
      <w:pPr>
        <w:spacing w:line="276" w:lineRule="auto"/>
        <w:ind w:firstLine="426" w:left="0"/>
        <w:rPr>
          <w:color w:val="000000"/>
          <w:sz w:val="24"/>
        </w:rPr>
      </w:pPr>
      <w:r>
        <w:rPr>
          <w:color w:val="000000"/>
          <w:sz w:val="24"/>
        </w:rPr>
        <w:t xml:space="preserve">1.4. 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за исключением случаев </w:t>
      </w:r>
      <w:r>
        <w:rPr>
          <w:color w:val="000000"/>
          <w:sz w:val="24"/>
        </w:rPr>
        <w:t xml:space="preserve">возникновения угрозы жизни или здоровью обучающихся, работников школы, иных экстренных случаев. </w:t>
      </w:r>
    </w:p>
    <w:p w14:paraId="12000000">
      <w:pPr>
        <w:spacing w:line="276" w:lineRule="auto"/>
        <w:ind w:firstLine="426" w:left="0"/>
        <w:rPr>
          <w:color w:val="000000"/>
          <w:sz w:val="24"/>
        </w:rPr>
      </w:pPr>
      <w:r>
        <w:rPr>
          <w:color w:val="000000"/>
          <w:sz w:val="24"/>
        </w:rPr>
        <w:t xml:space="preserve">1.5. Обучающиеся имеют право пользоваться мобильными связями на территории школы. </w:t>
      </w:r>
    </w:p>
    <w:p w14:paraId="13000000">
      <w:pPr>
        <w:spacing w:line="276" w:lineRule="auto"/>
        <w:ind w:firstLine="426" w:left="0"/>
        <w:rPr>
          <w:color w:val="000000"/>
          <w:sz w:val="24"/>
        </w:rPr>
      </w:pPr>
      <w:r>
        <w:rPr>
          <w:color w:val="000000"/>
          <w:sz w:val="24"/>
        </w:rPr>
        <w:t xml:space="preserve">1.6. В школе в каждом учебном классе на стенде для документации должен находиться знак, на листе формата А4, запрещающий использование мобильных телефонов. </w:t>
      </w:r>
    </w:p>
    <w:p w14:paraId="14000000">
      <w:pPr>
        <w:spacing w:line="276" w:lineRule="auto"/>
        <w:ind w:firstLine="426" w:left="0"/>
        <w:rPr>
          <w:color w:val="000000"/>
          <w:sz w:val="24"/>
        </w:rPr>
      </w:pPr>
      <w:r>
        <w:rPr>
          <w:color w:val="000000"/>
          <w:sz w:val="24"/>
        </w:rPr>
        <w:t xml:space="preserve">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 </w:t>
      </w:r>
    </w:p>
    <w:p w14:paraId="15000000">
      <w:pPr>
        <w:spacing w:line="276" w:lineRule="auto"/>
        <w:ind w:firstLine="426" w:left="0"/>
        <w:rPr>
          <w:color w:val="000000"/>
          <w:sz w:val="24"/>
        </w:rPr>
      </w:pPr>
      <w:r>
        <w:rPr>
          <w:color w:val="000000"/>
          <w:sz w:val="24"/>
        </w:rPr>
        <w:t>1.8. Мобильный телефон (смартфон) является личной собственностью обучающегося.</w:t>
      </w:r>
    </w:p>
    <w:p w14:paraId="16000000">
      <w:pPr>
        <w:spacing w:line="276" w:lineRule="auto"/>
        <w:ind w:firstLine="426" w:left="0"/>
        <w:rPr>
          <w:color w:val="000000"/>
          <w:sz w:val="24"/>
        </w:rPr>
      </w:pPr>
      <w:r>
        <w:rPr>
          <w:color w:val="000000"/>
          <w:sz w:val="24"/>
        </w:rPr>
        <w:t xml:space="preserve">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w:t>
      </w:r>
      <w:r>
        <w:rPr>
          <w:color w:val="000000"/>
          <w:sz w:val="24"/>
        </w:rPr>
        <w:t xml:space="preserve">МБОУ «Причулымская ООШ» </w:t>
      </w:r>
      <w:r>
        <w:rPr>
          <w:color w:val="000000"/>
          <w:sz w:val="24"/>
        </w:rPr>
        <w:t>(см. Приложения 1, 2).</w:t>
      </w:r>
    </w:p>
    <w:p w14:paraId="17000000">
      <w:pPr>
        <w:ind/>
        <w:jc w:val="left"/>
        <w:rPr>
          <w:color w:val="000000"/>
          <w:sz w:val="24"/>
        </w:rPr>
      </w:pPr>
    </w:p>
    <w:p w14:paraId="18000000">
      <w:pPr>
        <w:spacing w:line="276" w:lineRule="auto"/>
        <w:ind w:firstLine="426" w:left="0"/>
        <w:rPr>
          <w:b w:val="1"/>
          <w:color w:val="000000"/>
          <w:sz w:val="24"/>
        </w:rPr>
      </w:pPr>
      <w:r>
        <w:rPr>
          <w:b w:val="1"/>
          <w:color w:val="000000"/>
          <w:sz w:val="24"/>
        </w:rPr>
        <w:t>2. Условия использования мобильных телефонов и других электронных устройств</w:t>
      </w:r>
    </w:p>
    <w:p w14:paraId="19000000">
      <w:pPr>
        <w:spacing w:line="276" w:lineRule="auto"/>
        <w:ind w:firstLine="426" w:left="0"/>
        <w:rPr>
          <w:color w:val="000000"/>
          <w:sz w:val="24"/>
        </w:rPr>
      </w:pPr>
      <w:r>
        <w:rPr>
          <w:color w:val="000000"/>
          <w:sz w:val="24"/>
        </w:rPr>
        <w:t>2.1. Средства мобильной связи могут использоваться в образовательной организации для обмена информацией в случае необходимости.</w:t>
      </w:r>
    </w:p>
    <w:p w14:paraId="1A000000">
      <w:pPr>
        <w:spacing w:line="276" w:lineRule="auto"/>
        <w:ind w:firstLine="426" w:left="0"/>
        <w:rPr>
          <w:color w:val="000000"/>
          <w:sz w:val="24"/>
        </w:rPr>
      </w:pPr>
      <w:r>
        <w:rPr>
          <w:color w:val="000000"/>
          <w:sz w:val="24"/>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14:paraId="1B000000">
      <w:pPr>
        <w:spacing w:line="276" w:lineRule="auto"/>
        <w:ind w:firstLine="426" w:left="0"/>
        <w:rPr>
          <w:color w:val="000000"/>
          <w:sz w:val="24"/>
        </w:rPr>
      </w:pPr>
      <w:r>
        <w:rPr>
          <w:color w:val="000000"/>
          <w:sz w:val="24"/>
        </w:rPr>
        <w:t>2.3. Во время образовательной деятельности и внеурочных мероприятий необходимо:</w:t>
      </w:r>
    </w:p>
    <w:p w14:paraId="1C000000">
      <w:pPr>
        <w:numPr>
          <w:ilvl w:val="0"/>
          <w:numId w:val="1"/>
        </w:numPr>
        <w:spacing w:line="276" w:lineRule="auto"/>
        <w:ind w:firstLine="426" w:left="0"/>
        <w:rPr>
          <w:color w:val="000000"/>
          <w:sz w:val="24"/>
        </w:rPr>
      </w:pPr>
      <w:r>
        <w:rPr>
          <w:color w:val="000000"/>
          <w:sz w:val="24"/>
        </w:rPr>
        <w:t>отключить мобильный телефон или перевести в режим «без звука»;</w:t>
      </w:r>
    </w:p>
    <w:p w14:paraId="1D000000">
      <w:pPr>
        <w:numPr>
          <w:ilvl w:val="0"/>
          <w:numId w:val="1"/>
        </w:numPr>
        <w:spacing w:line="276" w:lineRule="auto"/>
        <w:ind w:firstLine="426" w:left="0"/>
        <w:rPr>
          <w:color w:val="000000"/>
          <w:sz w:val="24"/>
        </w:rPr>
      </w:pPr>
      <w:r>
        <w:rPr>
          <w:color w:val="000000"/>
          <w:sz w:val="24"/>
        </w:rPr>
        <w:t>отключить другие электронные средства (плееры, наушники, планшеты и др.);</w:t>
      </w:r>
    </w:p>
    <w:p w14:paraId="1E000000">
      <w:pPr>
        <w:numPr>
          <w:ilvl w:val="0"/>
          <w:numId w:val="1"/>
        </w:numPr>
        <w:spacing w:line="276" w:lineRule="auto"/>
        <w:ind w:firstLine="426" w:left="0"/>
        <w:rPr>
          <w:color w:val="000000"/>
          <w:sz w:val="24"/>
        </w:rPr>
      </w:pPr>
      <w:r>
        <w:rPr>
          <w:color w:val="000000"/>
          <w:sz w:val="24"/>
        </w:rPr>
        <w:t>убрать мобильный телефон и другие устройства со стола.</w:t>
      </w:r>
    </w:p>
    <w:p w14:paraId="1F000000">
      <w:pPr>
        <w:spacing w:line="276" w:lineRule="auto"/>
        <w:ind w:firstLine="426" w:left="0"/>
        <w:rPr>
          <w:color w:val="000000"/>
          <w:sz w:val="24"/>
        </w:rPr>
      </w:pPr>
      <w:r>
        <w:rPr>
          <w:color w:val="000000"/>
          <w:sz w:val="24"/>
        </w:rPr>
        <w:t>2.4. 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14:paraId="20000000">
      <w:pPr>
        <w:spacing w:line="276" w:lineRule="auto"/>
        <w:ind w:firstLine="426" w:left="0"/>
        <w:rPr>
          <w:color w:val="000000"/>
          <w:sz w:val="24"/>
        </w:rPr>
      </w:pPr>
      <w:r>
        <w:rPr>
          <w:color w:val="000000"/>
          <w:sz w:val="24"/>
        </w:rPr>
        <w:t>2.5. Использование средств мобильной связи даёт возможность:</w:t>
      </w:r>
    </w:p>
    <w:p w14:paraId="21000000">
      <w:pPr>
        <w:numPr>
          <w:ilvl w:val="0"/>
          <w:numId w:val="2"/>
        </w:numPr>
        <w:spacing w:line="276" w:lineRule="auto"/>
        <w:ind w:firstLine="426" w:left="0"/>
        <w:rPr>
          <w:color w:val="000000"/>
          <w:sz w:val="24"/>
        </w:rPr>
      </w:pPr>
      <w:r>
        <w:rPr>
          <w:color w:val="000000"/>
          <w:sz w:val="24"/>
        </w:rPr>
        <w:t>контролировать местонахождение ребенка;</w:t>
      </w:r>
    </w:p>
    <w:p w14:paraId="22000000">
      <w:pPr>
        <w:numPr>
          <w:ilvl w:val="0"/>
          <w:numId w:val="2"/>
        </w:numPr>
        <w:spacing w:line="276" w:lineRule="auto"/>
        <w:ind w:firstLine="426" w:left="0"/>
        <w:rPr>
          <w:color w:val="000000"/>
          <w:sz w:val="24"/>
        </w:rPr>
      </w:pPr>
      <w:r>
        <w:rPr>
          <w:color w:val="000000"/>
          <w:sz w:val="24"/>
        </w:rPr>
        <w:t>совершать обмен различными видами информации, кроме распространения фото-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14:paraId="23000000">
      <w:pPr>
        <w:spacing w:line="276" w:lineRule="auto"/>
        <w:ind w:firstLine="426" w:left="0"/>
        <w:rPr>
          <w:color w:val="000000"/>
          <w:sz w:val="24"/>
        </w:rPr>
      </w:pPr>
      <w:r>
        <w:rPr>
          <w:color w:val="000000"/>
          <w:sz w:val="24"/>
        </w:rPr>
        <w:t>2.6. При использовании на перемене средств мобильной связи необходимо соблюдать следующие нормы:</w:t>
      </w:r>
    </w:p>
    <w:p w14:paraId="24000000">
      <w:pPr>
        <w:numPr>
          <w:ilvl w:val="0"/>
          <w:numId w:val="3"/>
        </w:numPr>
        <w:spacing w:line="276" w:lineRule="auto"/>
        <w:ind w:firstLine="426" w:left="0"/>
        <w:rPr>
          <w:color w:val="000000"/>
          <w:sz w:val="24"/>
        </w:rPr>
      </w:pPr>
      <w:r>
        <w:rPr>
          <w:color w:val="000000"/>
          <w:sz w:val="24"/>
        </w:rPr>
        <w:t>не рекомендуется в качестве звонка использовать мелодию и звуки, которые могут встревожить или оскорбить окружающих;</w:t>
      </w:r>
    </w:p>
    <w:p w14:paraId="25000000">
      <w:pPr>
        <w:numPr>
          <w:ilvl w:val="0"/>
          <w:numId w:val="3"/>
        </w:numPr>
        <w:spacing w:line="276" w:lineRule="auto"/>
        <w:ind w:firstLine="426" w:left="0"/>
        <w:rPr>
          <w:color w:val="000000"/>
          <w:sz w:val="24"/>
        </w:rPr>
      </w:pPr>
      <w:r>
        <w:rPr>
          <w:color w:val="000000"/>
          <w:sz w:val="24"/>
        </w:rPr>
        <w:t>вести разговор по телефону (смартфону) необходимо максимально тихим голосом;</w:t>
      </w:r>
    </w:p>
    <w:p w14:paraId="26000000">
      <w:pPr>
        <w:numPr>
          <w:ilvl w:val="0"/>
          <w:numId w:val="3"/>
        </w:numPr>
        <w:spacing w:line="276" w:lineRule="auto"/>
        <w:ind w:firstLine="426" w:left="0"/>
        <w:rPr>
          <w:color w:val="000000"/>
          <w:sz w:val="24"/>
        </w:rPr>
      </w:pPr>
      <w:r>
        <w:rPr>
          <w:color w:val="000000"/>
          <w:sz w:val="24"/>
        </w:rPr>
        <w:t>недопустимо вести приватные разговоры в присутствии других людей;</w:t>
      </w:r>
    </w:p>
    <w:p w14:paraId="27000000">
      <w:pPr>
        <w:numPr>
          <w:ilvl w:val="0"/>
          <w:numId w:val="3"/>
        </w:numPr>
        <w:spacing w:line="276" w:lineRule="auto"/>
        <w:ind w:firstLine="426" w:left="0"/>
        <w:rPr>
          <w:color w:val="000000"/>
          <w:sz w:val="24"/>
        </w:rPr>
      </w:pPr>
      <w:r>
        <w:rPr>
          <w:color w:val="000000"/>
          <w:sz w:val="24"/>
        </w:rPr>
        <w:t>не разрешается использование чужих средств сотовой связи и передача их номеров третьим лицам без разрешения владельца.</w:t>
      </w:r>
    </w:p>
    <w:p w14:paraId="28000000">
      <w:pPr>
        <w:spacing w:line="276" w:lineRule="auto"/>
        <w:ind w:firstLine="426" w:left="0"/>
        <w:rPr>
          <w:color w:val="000000"/>
          <w:sz w:val="24"/>
        </w:rPr>
      </w:pPr>
      <w:r>
        <w:rPr>
          <w:color w:val="000000"/>
          <w:sz w:val="24"/>
        </w:rPr>
        <w:t>2.7. Ответственность за целостность мобильного телефона лежит только на его владельце (родителях (законных представителей) владельца).</w:t>
      </w:r>
    </w:p>
    <w:p w14:paraId="29000000">
      <w:pPr>
        <w:spacing w:line="276" w:lineRule="auto"/>
        <w:ind w:firstLine="426" w:left="0"/>
        <w:rPr>
          <w:color w:val="000000"/>
          <w:sz w:val="24"/>
        </w:rPr>
      </w:pPr>
      <w:r>
        <w:rPr>
          <w:color w:val="000000"/>
          <w:sz w:val="24"/>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14:paraId="2A000000">
      <w:pPr>
        <w:spacing w:line="276" w:lineRule="auto"/>
        <w:ind w:firstLine="426" w:left="0"/>
        <w:rPr>
          <w:color w:val="000000"/>
          <w:sz w:val="24"/>
        </w:rPr>
      </w:pPr>
      <w:r>
        <w:rPr>
          <w:color w:val="000000"/>
          <w:sz w:val="24"/>
        </w:rPr>
        <w:t>2.9. Шрифтовое оформление электронных учебных изданий должно соответствовать СанПиН 1.2.3685-21:</w:t>
      </w:r>
    </w:p>
    <w:p w14:paraId="2B000000">
      <w:pPr>
        <w:spacing w:line="276" w:lineRule="auto"/>
        <w:ind w:firstLine="426" w:left="0"/>
        <w:rPr>
          <w:color w:val="000000"/>
          <w:sz w:val="24"/>
        </w:rPr>
      </w:pPr>
    </w:p>
    <w:tbl>
      <w:tblPr>
        <w:tblStyle w:val="Style_1"/>
        <w:tblW w:type="auto" w:w="0"/>
        <w:tblLayout w:type="fixed"/>
        <w:tblCellMar>
          <w:top w:type="dxa" w:w="15"/>
          <w:left w:type="dxa" w:w="15"/>
          <w:bottom w:type="dxa" w:w="15"/>
          <w:right w:type="dxa" w:w="15"/>
        </w:tblCellMar>
      </w:tblPr>
      <w:tblGrid>
        <w:gridCol w:w="1013"/>
        <w:gridCol w:w="3930"/>
        <w:gridCol w:w="2066"/>
        <w:gridCol w:w="1754"/>
        <w:gridCol w:w="1441"/>
      </w:tblGrid>
      <w:tr>
        <w:tc>
          <w:tcPr>
            <w:tcW w:type="dxa" w:w="1013"/>
            <w:tcMar>
              <w:top w:type="dxa" w:w="15"/>
              <w:left w:type="dxa" w:w="15"/>
              <w:bottom w:type="dxa" w:w="15"/>
              <w:right w:type="dxa" w:w="15"/>
            </w:tcMar>
            <w:vAlign w:val="center"/>
          </w:tcPr>
          <w:p w14:paraId="2C000000">
            <w:pPr>
              <w:spacing w:line="276" w:lineRule="auto"/>
              <w:ind/>
              <w:jc w:val="center"/>
              <w:rPr>
                <w:b w:val="1"/>
                <w:sz w:val="24"/>
              </w:rPr>
            </w:pPr>
            <w:r>
              <w:rPr>
                <w:b w:val="1"/>
                <w:sz w:val="24"/>
              </w:rPr>
              <w:t>Классы</w:t>
            </w:r>
          </w:p>
        </w:tc>
        <w:tc>
          <w:tcPr>
            <w:tcW w:type="dxa" w:w="3930"/>
            <w:tcMar>
              <w:top w:type="dxa" w:w="15"/>
              <w:left w:type="dxa" w:w="15"/>
              <w:bottom w:type="dxa" w:w="15"/>
              <w:right w:type="dxa" w:w="15"/>
            </w:tcMar>
            <w:vAlign w:val="center"/>
          </w:tcPr>
          <w:p w14:paraId="2D000000">
            <w:pPr>
              <w:spacing w:line="276" w:lineRule="auto"/>
              <w:ind/>
              <w:jc w:val="center"/>
              <w:rPr>
                <w:b w:val="1"/>
                <w:sz w:val="24"/>
              </w:rPr>
            </w:pPr>
            <w:r>
              <w:rPr>
                <w:b w:val="1"/>
                <w:sz w:val="24"/>
              </w:rPr>
              <w:t>Объем текста единовременного прочтения, количество знаков</w:t>
            </w:r>
          </w:p>
        </w:tc>
        <w:tc>
          <w:tcPr>
            <w:tcW w:type="dxa" w:w="2066"/>
            <w:tcMar>
              <w:top w:type="dxa" w:w="15"/>
              <w:left w:type="dxa" w:w="15"/>
              <w:bottom w:type="dxa" w:w="15"/>
              <w:right w:type="dxa" w:w="15"/>
            </w:tcMar>
            <w:vAlign w:val="center"/>
          </w:tcPr>
          <w:p w14:paraId="2E000000">
            <w:pPr>
              <w:spacing w:line="276" w:lineRule="auto"/>
              <w:ind/>
              <w:jc w:val="center"/>
              <w:rPr>
                <w:b w:val="1"/>
                <w:sz w:val="24"/>
              </w:rPr>
            </w:pPr>
            <w:r>
              <w:rPr>
                <w:b w:val="1"/>
                <w:sz w:val="24"/>
              </w:rPr>
              <w:t>Кегль шрифта, пункты, не менее</w:t>
            </w:r>
          </w:p>
        </w:tc>
        <w:tc>
          <w:tcPr>
            <w:tcW w:type="dxa" w:w="1754"/>
            <w:tcMar>
              <w:top w:type="dxa" w:w="15"/>
              <w:left w:type="dxa" w:w="15"/>
              <w:bottom w:type="dxa" w:w="15"/>
              <w:right w:type="dxa" w:w="15"/>
            </w:tcMar>
            <w:vAlign w:val="center"/>
          </w:tcPr>
          <w:p w14:paraId="2F000000">
            <w:pPr>
              <w:spacing w:line="276" w:lineRule="auto"/>
              <w:ind/>
              <w:jc w:val="center"/>
              <w:rPr>
                <w:b w:val="1"/>
                <w:sz w:val="24"/>
              </w:rPr>
            </w:pPr>
            <w:r>
              <w:rPr>
                <w:b w:val="1"/>
                <w:sz w:val="24"/>
              </w:rPr>
              <w:t>Длина строки, мм, не менее</w:t>
            </w:r>
          </w:p>
        </w:tc>
        <w:tc>
          <w:tcPr>
            <w:tcW w:type="dxa" w:w="1441"/>
            <w:tcMar>
              <w:top w:type="dxa" w:w="15"/>
              <w:left w:type="dxa" w:w="15"/>
              <w:bottom w:type="dxa" w:w="15"/>
              <w:right w:type="dxa" w:w="15"/>
            </w:tcMar>
            <w:vAlign w:val="center"/>
          </w:tcPr>
          <w:p w14:paraId="30000000">
            <w:pPr>
              <w:spacing w:line="276" w:lineRule="auto"/>
              <w:ind/>
              <w:jc w:val="center"/>
              <w:rPr>
                <w:b w:val="1"/>
                <w:sz w:val="24"/>
              </w:rPr>
            </w:pPr>
            <w:r>
              <w:rPr>
                <w:b w:val="1"/>
                <w:sz w:val="24"/>
              </w:rPr>
              <w:t>Группа шрифта</w:t>
            </w:r>
          </w:p>
        </w:tc>
      </w:tr>
      <w:tr>
        <w:tc>
          <w:tcPr>
            <w:tcW w:type="dxa" w:w="1013"/>
            <w:vMerge w:val="restart"/>
            <w:tcMar>
              <w:top w:type="dxa" w:w="15"/>
              <w:left w:type="dxa" w:w="15"/>
              <w:bottom w:type="dxa" w:w="15"/>
              <w:right w:type="dxa" w:w="15"/>
            </w:tcMar>
            <w:vAlign w:val="center"/>
          </w:tcPr>
          <w:p w14:paraId="31000000">
            <w:pPr>
              <w:spacing w:line="276" w:lineRule="auto"/>
              <w:ind/>
              <w:jc w:val="left"/>
              <w:rPr>
                <w:sz w:val="24"/>
              </w:rPr>
            </w:pPr>
            <w:r>
              <w:rPr>
                <w:sz w:val="24"/>
              </w:rPr>
              <w:t>1-2 классы</w:t>
            </w:r>
          </w:p>
        </w:tc>
        <w:tc>
          <w:tcPr>
            <w:tcW w:type="dxa" w:w="3930"/>
            <w:tcMar>
              <w:top w:type="dxa" w:w="15"/>
              <w:left w:type="dxa" w:w="15"/>
              <w:bottom w:type="dxa" w:w="15"/>
              <w:right w:type="dxa" w:w="15"/>
            </w:tcMar>
            <w:vAlign w:val="center"/>
          </w:tcPr>
          <w:p w14:paraId="32000000">
            <w:pPr>
              <w:spacing w:line="276" w:lineRule="auto"/>
              <w:ind/>
              <w:jc w:val="left"/>
              <w:rPr>
                <w:sz w:val="24"/>
              </w:rPr>
            </w:pPr>
            <w:r>
              <w:rPr>
                <w:sz w:val="24"/>
              </w:rPr>
              <w:t>не более 100</w:t>
            </w:r>
          </w:p>
        </w:tc>
        <w:tc>
          <w:tcPr>
            <w:tcW w:type="dxa" w:w="2066"/>
            <w:tcMar>
              <w:top w:type="dxa" w:w="15"/>
              <w:left w:type="dxa" w:w="15"/>
              <w:bottom w:type="dxa" w:w="15"/>
              <w:right w:type="dxa" w:w="15"/>
            </w:tcMar>
            <w:vAlign w:val="center"/>
          </w:tcPr>
          <w:p w14:paraId="33000000">
            <w:pPr>
              <w:spacing w:line="276" w:lineRule="auto"/>
              <w:ind/>
              <w:jc w:val="left"/>
              <w:rPr>
                <w:sz w:val="24"/>
              </w:rPr>
            </w:pPr>
            <w:r>
              <w:rPr>
                <w:sz w:val="24"/>
              </w:rPr>
              <w:t>16</w:t>
            </w:r>
          </w:p>
        </w:tc>
        <w:tc>
          <w:tcPr>
            <w:tcW w:type="dxa" w:w="1754"/>
            <w:tcMar>
              <w:top w:type="dxa" w:w="15"/>
              <w:left w:type="dxa" w:w="15"/>
              <w:bottom w:type="dxa" w:w="15"/>
              <w:right w:type="dxa" w:w="15"/>
            </w:tcMar>
            <w:vAlign w:val="center"/>
          </w:tcPr>
          <w:p w14:paraId="34000000">
            <w:pPr>
              <w:spacing w:line="276" w:lineRule="auto"/>
              <w:ind/>
              <w:jc w:val="left"/>
              <w:rPr>
                <w:sz w:val="24"/>
              </w:rPr>
            </w:pPr>
            <w:r>
              <w:rPr>
                <w:sz w:val="24"/>
              </w:rPr>
              <w:t xml:space="preserve">не </w:t>
            </w:r>
            <w:r>
              <w:rPr>
                <w:sz w:val="24"/>
              </w:rPr>
              <w:t>регл</w:t>
            </w:r>
            <w:r>
              <w:rPr>
                <w:sz w:val="24"/>
              </w:rPr>
              <w:t>.</w:t>
            </w:r>
          </w:p>
        </w:tc>
        <w:tc>
          <w:tcPr>
            <w:tcW w:type="dxa" w:w="1441"/>
            <w:vMerge w:val="restart"/>
            <w:tcMar>
              <w:top w:type="dxa" w:w="15"/>
              <w:left w:type="dxa" w:w="15"/>
              <w:bottom w:type="dxa" w:w="15"/>
              <w:right w:type="dxa" w:w="15"/>
            </w:tcMar>
            <w:vAlign w:val="center"/>
          </w:tcPr>
          <w:p w14:paraId="35000000">
            <w:pPr>
              <w:spacing w:line="276" w:lineRule="auto"/>
              <w:ind/>
              <w:jc w:val="left"/>
              <w:rPr>
                <w:sz w:val="24"/>
              </w:rPr>
            </w:pPr>
            <w:r>
              <w:rPr>
                <w:sz w:val="24"/>
              </w:rPr>
              <w:t>рубленные</w:t>
            </w:r>
          </w:p>
        </w:tc>
      </w:tr>
      <w:tr>
        <w:tc>
          <w:tcPr>
            <w:tcW w:type="dxa" w:w="1013"/>
            <w:gridSpan w:val="1"/>
            <w:vMerge w:val="continue"/>
            <w:tcMar>
              <w:top w:type="dxa" w:w="15"/>
              <w:left w:type="dxa" w:w="15"/>
              <w:bottom w:type="dxa" w:w="15"/>
              <w:right w:type="dxa" w:w="15"/>
            </w:tcMar>
            <w:vAlign w:val="center"/>
          </w:tcPr>
          <w:p/>
        </w:tc>
        <w:tc>
          <w:tcPr>
            <w:tcW w:type="dxa" w:w="3930"/>
            <w:tcMar>
              <w:top w:type="dxa" w:w="15"/>
              <w:left w:type="dxa" w:w="15"/>
              <w:bottom w:type="dxa" w:w="15"/>
              <w:right w:type="dxa" w:w="15"/>
            </w:tcMar>
            <w:vAlign w:val="center"/>
          </w:tcPr>
          <w:p w14:paraId="36000000">
            <w:pPr>
              <w:spacing w:line="276" w:lineRule="auto"/>
              <w:ind/>
              <w:jc w:val="left"/>
              <w:rPr>
                <w:sz w:val="24"/>
              </w:rPr>
            </w:pPr>
            <w:r>
              <w:rPr>
                <w:sz w:val="24"/>
              </w:rPr>
              <w:t>не более 200</w:t>
            </w:r>
          </w:p>
        </w:tc>
        <w:tc>
          <w:tcPr>
            <w:tcW w:type="dxa" w:w="2066"/>
            <w:tcMar>
              <w:top w:type="dxa" w:w="15"/>
              <w:left w:type="dxa" w:w="15"/>
              <w:bottom w:type="dxa" w:w="15"/>
              <w:right w:type="dxa" w:w="15"/>
            </w:tcMar>
            <w:vAlign w:val="center"/>
          </w:tcPr>
          <w:p w14:paraId="37000000">
            <w:pPr>
              <w:spacing w:line="276" w:lineRule="auto"/>
              <w:ind/>
              <w:jc w:val="left"/>
              <w:rPr>
                <w:sz w:val="24"/>
              </w:rPr>
            </w:pPr>
            <w:r>
              <w:rPr>
                <w:sz w:val="24"/>
              </w:rPr>
              <w:t>18</w:t>
            </w:r>
          </w:p>
        </w:tc>
        <w:tc>
          <w:tcPr>
            <w:tcW w:type="dxa" w:w="1754"/>
            <w:tcMar>
              <w:top w:type="dxa" w:w="15"/>
              <w:left w:type="dxa" w:w="15"/>
              <w:bottom w:type="dxa" w:w="15"/>
              <w:right w:type="dxa" w:w="15"/>
            </w:tcMar>
            <w:vAlign w:val="center"/>
          </w:tcPr>
          <w:p w14:paraId="38000000">
            <w:pPr>
              <w:spacing w:line="276" w:lineRule="auto"/>
              <w:ind/>
              <w:jc w:val="left"/>
              <w:rPr>
                <w:sz w:val="24"/>
              </w:rPr>
            </w:pPr>
            <w:r>
              <w:rPr>
                <w:sz w:val="24"/>
              </w:rPr>
              <w:t>80</w:t>
            </w:r>
          </w:p>
        </w:tc>
        <w:tc>
          <w:tcPr>
            <w:tcW w:type="dxa" w:w="1441"/>
            <w:gridSpan w:val="1"/>
            <w:vMerge w:val="continue"/>
            <w:tcMar>
              <w:top w:type="dxa" w:w="15"/>
              <w:left w:type="dxa" w:w="15"/>
              <w:bottom w:type="dxa" w:w="15"/>
              <w:right w:type="dxa" w:w="15"/>
            </w:tcMar>
            <w:vAlign w:val="center"/>
          </w:tcPr>
          <w:p/>
        </w:tc>
      </w:tr>
      <w:tr>
        <w:tc>
          <w:tcPr>
            <w:tcW w:type="dxa" w:w="1013"/>
            <w:vMerge w:val="restart"/>
            <w:tcMar>
              <w:top w:type="dxa" w:w="15"/>
              <w:left w:type="dxa" w:w="15"/>
              <w:bottom w:type="dxa" w:w="15"/>
              <w:right w:type="dxa" w:w="15"/>
            </w:tcMar>
            <w:vAlign w:val="center"/>
          </w:tcPr>
          <w:p w14:paraId="39000000">
            <w:pPr>
              <w:spacing w:line="276" w:lineRule="auto"/>
              <w:ind/>
              <w:jc w:val="left"/>
              <w:rPr>
                <w:sz w:val="24"/>
              </w:rPr>
            </w:pPr>
            <w:r>
              <w:rPr>
                <w:sz w:val="24"/>
              </w:rPr>
              <w:t>3-4 классы</w:t>
            </w:r>
          </w:p>
        </w:tc>
        <w:tc>
          <w:tcPr>
            <w:tcW w:type="dxa" w:w="3930"/>
            <w:tcMar>
              <w:top w:type="dxa" w:w="15"/>
              <w:left w:type="dxa" w:w="15"/>
              <w:bottom w:type="dxa" w:w="15"/>
              <w:right w:type="dxa" w:w="15"/>
            </w:tcMar>
            <w:vAlign w:val="center"/>
          </w:tcPr>
          <w:p w14:paraId="3A000000">
            <w:pPr>
              <w:spacing w:line="276" w:lineRule="auto"/>
              <w:ind/>
              <w:jc w:val="left"/>
              <w:rPr>
                <w:sz w:val="24"/>
              </w:rPr>
            </w:pPr>
            <w:r>
              <w:rPr>
                <w:sz w:val="24"/>
              </w:rPr>
              <w:t>не более 200</w:t>
            </w:r>
          </w:p>
        </w:tc>
        <w:tc>
          <w:tcPr>
            <w:tcW w:type="dxa" w:w="2066"/>
            <w:tcMar>
              <w:top w:type="dxa" w:w="15"/>
              <w:left w:type="dxa" w:w="15"/>
              <w:bottom w:type="dxa" w:w="15"/>
              <w:right w:type="dxa" w:w="15"/>
            </w:tcMar>
            <w:vAlign w:val="center"/>
          </w:tcPr>
          <w:p w14:paraId="3B000000">
            <w:pPr>
              <w:spacing w:line="276" w:lineRule="auto"/>
              <w:ind/>
              <w:jc w:val="left"/>
              <w:rPr>
                <w:sz w:val="24"/>
              </w:rPr>
            </w:pPr>
            <w:r>
              <w:rPr>
                <w:sz w:val="24"/>
              </w:rPr>
              <w:t>14</w:t>
            </w:r>
          </w:p>
        </w:tc>
        <w:tc>
          <w:tcPr>
            <w:tcW w:type="dxa" w:w="1754"/>
            <w:tcMar>
              <w:top w:type="dxa" w:w="15"/>
              <w:left w:type="dxa" w:w="15"/>
              <w:bottom w:type="dxa" w:w="15"/>
              <w:right w:type="dxa" w:w="15"/>
            </w:tcMar>
            <w:vAlign w:val="center"/>
          </w:tcPr>
          <w:p w14:paraId="3C000000">
            <w:pPr>
              <w:spacing w:line="276" w:lineRule="auto"/>
              <w:ind/>
              <w:jc w:val="left"/>
              <w:rPr>
                <w:sz w:val="24"/>
              </w:rPr>
            </w:pPr>
            <w:r>
              <w:rPr>
                <w:sz w:val="24"/>
              </w:rPr>
              <w:t xml:space="preserve">не </w:t>
            </w:r>
            <w:r>
              <w:rPr>
                <w:sz w:val="24"/>
              </w:rPr>
              <w:t>регл</w:t>
            </w:r>
            <w:r>
              <w:rPr>
                <w:sz w:val="24"/>
              </w:rPr>
              <w:t>.</w:t>
            </w:r>
          </w:p>
        </w:tc>
        <w:tc>
          <w:tcPr>
            <w:tcW w:type="dxa" w:w="1441"/>
            <w:vMerge w:val="restart"/>
            <w:tcMar>
              <w:top w:type="dxa" w:w="15"/>
              <w:left w:type="dxa" w:w="15"/>
              <w:bottom w:type="dxa" w:w="15"/>
              <w:right w:type="dxa" w:w="15"/>
            </w:tcMar>
            <w:vAlign w:val="center"/>
          </w:tcPr>
          <w:p w14:paraId="3D000000">
            <w:pPr>
              <w:spacing w:line="276" w:lineRule="auto"/>
              <w:ind/>
              <w:jc w:val="left"/>
              <w:rPr>
                <w:sz w:val="24"/>
              </w:rPr>
            </w:pPr>
            <w:r>
              <w:rPr>
                <w:sz w:val="24"/>
              </w:rPr>
              <w:t>рубленные</w:t>
            </w:r>
          </w:p>
        </w:tc>
      </w:tr>
      <w:tr>
        <w:tc>
          <w:tcPr>
            <w:tcW w:type="dxa" w:w="1013"/>
            <w:gridSpan w:val="1"/>
            <w:vMerge w:val="continue"/>
            <w:tcMar>
              <w:top w:type="dxa" w:w="15"/>
              <w:left w:type="dxa" w:w="15"/>
              <w:bottom w:type="dxa" w:w="15"/>
              <w:right w:type="dxa" w:w="15"/>
            </w:tcMar>
            <w:vAlign w:val="center"/>
          </w:tcPr>
          <w:p/>
        </w:tc>
        <w:tc>
          <w:tcPr>
            <w:tcW w:type="dxa" w:w="3930"/>
            <w:tcMar>
              <w:top w:type="dxa" w:w="15"/>
              <w:left w:type="dxa" w:w="15"/>
              <w:bottom w:type="dxa" w:w="15"/>
              <w:right w:type="dxa" w:w="15"/>
            </w:tcMar>
            <w:vAlign w:val="center"/>
          </w:tcPr>
          <w:p w14:paraId="3E000000">
            <w:pPr>
              <w:spacing w:line="276" w:lineRule="auto"/>
              <w:ind/>
              <w:jc w:val="left"/>
              <w:rPr>
                <w:sz w:val="24"/>
              </w:rPr>
            </w:pPr>
            <w:r>
              <w:rPr>
                <w:sz w:val="24"/>
              </w:rPr>
              <w:t>не более 400</w:t>
            </w:r>
          </w:p>
        </w:tc>
        <w:tc>
          <w:tcPr>
            <w:tcW w:type="dxa" w:w="2066"/>
            <w:tcMar>
              <w:top w:type="dxa" w:w="15"/>
              <w:left w:type="dxa" w:w="15"/>
              <w:bottom w:type="dxa" w:w="15"/>
              <w:right w:type="dxa" w:w="15"/>
            </w:tcMar>
            <w:vAlign w:val="center"/>
          </w:tcPr>
          <w:p w14:paraId="3F000000">
            <w:pPr>
              <w:spacing w:line="276" w:lineRule="auto"/>
              <w:ind/>
              <w:jc w:val="left"/>
              <w:rPr>
                <w:sz w:val="24"/>
              </w:rPr>
            </w:pPr>
            <w:r>
              <w:rPr>
                <w:sz w:val="24"/>
              </w:rPr>
              <w:t>16</w:t>
            </w:r>
          </w:p>
        </w:tc>
        <w:tc>
          <w:tcPr>
            <w:tcW w:type="dxa" w:w="1754"/>
            <w:tcMar>
              <w:top w:type="dxa" w:w="15"/>
              <w:left w:type="dxa" w:w="15"/>
              <w:bottom w:type="dxa" w:w="15"/>
              <w:right w:type="dxa" w:w="15"/>
            </w:tcMar>
            <w:vAlign w:val="center"/>
          </w:tcPr>
          <w:p w14:paraId="40000000">
            <w:pPr>
              <w:spacing w:line="276" w:lineRule="auto"/>
              <w:ind/>
              <w:jc w:val="left"/>
              <w:rPr>
                <w:sz w:val="24"/>
              </w:rPr>
            </w:pPr>
            <w:r>
              <w:rPr>
                <w:sz w:val="24"/>
              </w:rPr>
              <w:t>80</w:t>
            </w:r>
          </w:p>
        </w:tc>
        <w:tc>
          <w:tcPr>
            <w:tcW w:type="dxa" w:w="1441"/>
            <w:gridSpan w:val="1"/>
            <w:vMerge w:val="continue"/>
            <w:tcMar>
              <w:top w:type="dxa" w:w="15"/>
              <w:left w:type="dxa" w:w="15"/>
              <w:bottom w:type="dxa" w:w="15"/>
              <w:right w:type="dxa" w:w="15"/>
            </w:tcMar>
            <w:vAlign w:val="center"/>
          </w:tcPr>
          <w:p/>
        </w:tc>
      </w:tr>
      <w:tr>
        <w:tc>
          <w:tcPr>
            <w:tcW w:type="dxa" w:w="1013"/>
            <w:gridSpan w:val="1"/>
            <w:vMerge w:val="continue"/>
            <w:tcMar>
              <w:top w:type="dxa" w:w="15"/>
              <w:left w:type="dxa" w:w="15"/>
              <w:bottom w:type="dxa" w:w="15"/>
              <w:right w:type="dxa" w:w="15"/>
            </w:tcMar>
            <w:vAlign w:val="center"/>
          </w:tcPr>
          <w:p/>
        </w:tc>
        <w:tc>
          <w:tcPr>
            <w:tcW w:type="dxa" w:w="3930"/>
            <w:tcMar>
              <w:top w:type="dxa" w:w="15"/>
              <w:left w:type="dxa" w:w="15"/>
              <w:bottom w:type="dxa" w:w="15"/>
              <w:right w:type="dxa" w:w="15"/>
            </w:tcMar>
            <w:vAlign w:val="center"/>
          </w:tcPr>
          <w:p w14:paraId="41000000">
            <w:pPr>
              <w:spacing w:line="276" w:lineRule="auto"/>
              <w:ind/>
              <w:jc w:val="left"/>
              <w:rPr>
                <w:sz w:val="24"/>
              </w:rPr>
            </w:pPr>
            <w:r>
              <w:rPr>
                <w:sz w:val="24"/>
              </w:rPr>
              <w:t>более 400</w:t>
            </w:r>
          </w:p>
        </w:tc>
        <w:tc>
          <w:tcPr>
            <w:tcW w:type="dxa" w:w="2066"/>
            <w:tcMar>
              <w:top w:type="dxa" w:w="15"/>
              <w:left w:type="dxa" w:w="15"/>
              <w:bottom w:type="dxa" w:w="15"/>
              <w:right w:type="dxa" w:w="15"/>
            </w:tcMar>
            <w:vAlign w:val="center"/>
          </w:tcPr>
          <w:p w14:paraId="42000000">
            <w:pPr>
              <w:spacing w:line="276" w:lineRule="auto"/>
              <w:ind/>
              <w:jc w:val="left"/>
              <w:rPr>
                <w:sz w:val="24"/>
              </w:rPr>
            </w:pPr>
            <w:r>
              <w:rPr>
                <w:sz w:val="24"/>
              </w:rPr>
              <w:t>18</w:t>
            </w:r>
          </w:p>
        </w:tc>
        <w:tc>
          <w:tcPr>
            <w:tcW w:type="dxa" w:w="1754"/>
            <w:tcMar>
              <w:top w:type="dxa" w:w="15"/>
              <w:left w:type="dxa" w:w="15"/>
              <w:bottom w:type="dxa" w:w="15"/>
              <w:right w:type="dxa" w:w="15"/>
            </w:tcMar>
            <w:vAlign w:val="center"/>
          </w:tcPr>
          <w:p w14:paraId="43000000">
            <w:pPr>
              <w:spacing w:line="276" w:lineRule="auto"/>
              <w:ind/>
              <w:jc w:val="left"/>
              <w:rPr>
                <w:sz w:val="24"/>
              </w:rPr>
            </w:pPr>
            <w:r>
              <w:rPr>
                <w:sz w:val="24"/>
              </w:rPr>
              <w:t>90</w:t>
            </w:r>
          </w:p>
        </w:tc>
        <w:tc>
          <w:tcPr>
            <w:tcW w:type="dxa" w:w="1441"/>
            <w:gridSpan w:val="1"/>
            <w:vMerge w:val="continue"/>
            <w:tcMar>
              <w:top w:type="dxa" w:w="15"/>
              <w:left w:type="dxa" w:w="15"/>
              <w:bottom w:type="dxa" w:w="15"/>
              <w:right w:type="dxa" w:w="15"/>
            </w:tcMar>
            <w:vAlign w:val="center"/>
          </w:tcPr>
          <w:p/>
        </w:tc>
      </w:tr>
      <w:tr>
        <w:tc>
          <w:tcPr>
            <w:tcW w:type="dxa" w:w="1013"/>
            <w:vMerge w:val="restart"/>
            <w:tcMar>
              <w:top w:type="dxa" w:w="15"/>
              <w:left w:type="dxa" w:w="15"/>
              <w:bottom w:type="dxa" w:w="15"/>
              <w:right w:type="dxa" w:w="15"/>
            </w:tcMar>
            <w:vAlign w:val="center"/>
          </w:tcPr>
          <w:p w14:paraId="44000000">
            <w:pPr>
              <w:spacing w:line="276" w:lineRule="auto"/>
              <w:ind/>
              <w:jc w:val="left"/>
              <w:rPr>
                <w:sz w:val="24"/>
              </w:rPr>
            </w:pPr>
            <w:r>
              <w:rPr>
                <w:sz w:val="24"/>
              </w:rPr>
              <w:t>5-9 классы</w:t>
            </w:r>
          </w:p>
        </w:tc>
        <w:tc>
          <w:tcPr>
            <w:tcW w:type="dxa" w:w="3930"/>
            <w:tcMar>
              <w:top w:type="dxa" w:w="15"/>
              <w:left w:type="dxa" w:w="15"/>
              <w:bottom w:type="dxa" w:w="15"/>
              <w:right w:type="dxa" w:w="15"/>
            </w:tcMar>
            <w:vAlign w:val="center"/>
          </w:tcPr>
          <w:p w14:paraId="45000000">
            <w:pPr>
              <w:spacing w:line="276" w:lineRule="auto"/>
              <w:ind/>
              <w:jc w:val="left"/>
              <w:rPr>
                <w:sz w:val="24"/>
              </w:rPr>
            </w:pPr>
            <w:r>
              <w:rPr>
                <w:sz w:val="24"/>
              </w:rPr>
              <w:t>не более 200</w:t>
            </w:r>
          </w:p>
        </w:tc>
        <w:tc>
          <w:tcPr>
            <w:tcW w:type="dxa" w:w="2066"/>
            <w:tcMar>
              <w:top w:type="dxa" w:w="15"/>
              <w:left w:type="dxa" w:w="15"/>
              <w:bottom w:type="dxa" w:w="15"/>
              <w:right w:type="dxa" w:w="15"/>
            </w:tcMar>
            <w:vAlign w:val="center"/>
          </w:tcPr>
          <w:p w14:paraId="46000000">
            <w:pPr>
              <w:spacing w:line="276" w:lineRule="auto"/>
              <w:ind/>
              <w:jc w:val="left"/>
              <w:rPr>
                <w:sz w:val="24"/>
              </w:rPr>
            </w:pPr>
            <w:r>
              <w:rPr>
                <w:sz w:val="24"/>
              </w:rPr>
              <w:t>12</w:t>
            </w:r>
          </w:p>
        </w:tc>
        <w:tc>
          <w:tcPr>
            <w:tcW w:type="dxa" w:w="1754"/>
            <w:tcMar>
              <w:top w:type="dxa" w:w="15"/>
              <w:left w:type="dxa" w:w="15"/>
              <w:bottom w:type="dxa" w:w="15"/>
              <w:right w:type="dxa" w:w="15"/>
            </w:tcMar>
            <w:vAlign w:val="center"/>
          </w:tcPr>
          <w:p w14:paraId="47000000">
            <w:pPr>
              <w:spacing w:line="276" w:lineRule="auto"/>
              <w:ind/>
              <w:jc w:val="left"/>
              <w:rPr>
                <w:sz w:val="24"/>
              </w:rPr>
            </w:pPr>
            <w:r>
              <w:rPr>
                <w:sz w:val="24"/>
              </w:rPr>
              <w:t xml:space="preserve">не </w:t>
            </w:r>
            <w:r>
              <w:rPr>
                <w:sz w:val="24"/>
              </w:rPr>
              <w:t>регл</w:t>
            </w:r>
            <w:r>
              <w:rPr>
                <w:sz w:val="24"/>
              </w:rPr>
              <w:t>.</w:t>
            </w:r>
          </w:p>
        </w:tc>
        <w:tc>
          <w:tcPr>
            <w:tcW w:type="dxa" w:w="1441"/>
            <w:tcMar>
              <w:top w:type="dxa" w:w="15"/>
              <w:left w:type="dxa" w:w="15"/>
              <w:bottom w:type="dxa" w:w="15"/>
              <w:right w:type="dxa" w:w="15"/>
            </w:tcMar>
            <w:vAlign w:val="center"/>
          </w:tcPr>
          <w:p w14:paraId="48000000">
            <w:pPr>
              <w:spacing w:line="276" w:lineRule="auto"/>
              <w:ind/>
              <w:jc w:val="left"/>
              <w:rPr>
                <w:sz w:val="24"/>
              </w:rPr>
            </w:pPr>
            <w:r>
              <w:rPr>
                <w:sz w:val="24"/>
              </w:rPr>
              <w:t>все группы</w:t>
            </w:r>
          </w:p>
        </w:tc>
      </w:tr>
      <w:tr>
        <w:tc>
          <w:tcPr>
            <w:tcW w:type="dxa" w:w="1013"/>
            <w:gridSpan w:val="1"/>
            <w:vMerge w:val="continue"/>
            <w:tcMar>
              <w:top w:type="dxa" w:w="15"/>
              <w:left w:type="dxa" w:w="15"/>
              <w:bottom w:type="dxa" w:w="15"/>
              <w:right w:type="dxa" w:w="15"/>
            </w:tcMar>
            <w:vAlign w:val="center"/>
          </w:tcPr>
          <w:p/>
        </w:tc>
        <w:tc>
          <w:tcPr>
            <w:tcW w:type="dxa" w:w="3930"/>
            <w:tcMar>
              <w:top w:type="dxa" w:w="15"/>
              <w:left w:type="dxa" w:w="15"/>
              <w:bottom w:type="dxa" w:w="15"/>
              <w:right w:type="dxa" w:w="15"/>
            </w:tcMar>
            <w:vAlign w:val="center"/>
          </w:tcPr>
          <w:p w14:paraId="49000000">
            <w:pPr>
              <w:spacing w:line="276" w:lineRule="auto"/>
              <w:ind/>
              <w:jc w:val="left"/>
              <w:rPr>
                <w:sz w:val="24"/>
              </w:rPr>
            </w:pPr>
            <w:r>
              <w:rPr>
                <w:sz w:val="24"/>
              </w:rPr>
              <w:t>не более 400</w:t>
            </w:r>
          </w:p>
        </w:tc>
        <w:tc>
          <w:tcPr>
            <w:tcW w:type="dxa" w:w="2066"/>
            <w:tcMar>
              <w:top w:type="dxa" w:w="15"/>
              <w:left w:type="dxa" w:w="15"/>
              <w:bottom w:type="dxa" w:w="15"/>
              <w:right w:type="dxa" w:w="15"/>
            </w:tcMar>
            <w:vAlign w:val="center"/>
          </w:tcPr>
          <w:p w14:paraId="4A000000">
            <w:pPr>
              <w:spacing w:line="276" w:lineRule="auto"/>
              <w:ind/>
              <w:jc w:val="left"/>
              <w:rPr>
                <w:sz w:val="24"/>
              </w:rPr>
            </w:pPr>
            <w:r>
              <w:rPr>
                <w:sz w:val="24"/>
              </w:rPr>
              <w:t>14</w:t>
            </w:r>
          </w:p>
        </w:tc>
        <w:tc>
          <w:tcPr>
            <w:tcW w:type="dxa" w:w="1754"/>
            <w:tcMar>
              <w:top w:type="dxa" w:w="15"/>
              <w:left w:type="dxa" w:w="15"/>
              <w:bottom w:type="dxa" w:w="15"/>
              <w:right w:type="dxa" w:w="15"/>
            </w:tcMar>
            <w:vAlign w:val="center"/>
          </w:tcPr>
          <w:p w14:paraId="4B000000">
            <w:pPr>
              <w:spacing w:line="276" w:lineRule="auto"/>
              <w:ind/>
              <w:jc w:val="left"/>
              <w:rPr>
                <w:sz w:val="24"/>
              </w:rPr>
            </w:pPr>
            <w:r>
              <w:rPr>
                <w:sz w:val="24"/>
              </w:rPr>
              <w:t>50</w:t>
            </w:r>
          </w:p>
        </w:tc>
        <w:tc>
          <w:tcPr>
            <w:tcW w:type="dxa" w:w="1441"/>
            <w:tcMar>
              <w:top w:type="dxa" w:w="15"/>
              <w:left w:type="dxa" w:w="15"/>
              <w:bottom w:type="dxa" w:w="15"/>
              <w:right w:type="dxa" w:w="15"/>
            </w:tcMar>
            <w:vAlign w:val="center"/>
          </w:tcPr>
          <w:p w14:paraId="4C000000">
            <w:pPr>
              <w:spacing w:line="276" w:lineRule="auto"/>
              <w:ind/>
              <w:jc w:val="left"/>
              <w:rPr>
                <w:sz w:val="24"/>
              </w:rPr>
            </w:pPr>
            <w:r>
              <w:rPr>
                <w:sz w:val="24"/>
              </w:rPr>
              <w:t>все группы</w:t>
            </w:r>
          </w:p>
        </w:tc>
      </w:tr>
      <w:tr>
        <w:tc>
          <w:tcPr>
            <w:tcW w:type="dxa" w:w="1013"/>
            <w:gridSpan w:val="1"/>
            <w:vMerge w:val="continue"/>
            <w:tcMar>
              <w:top w:type="dxa" w:w="15"/>
              <w:left w:type="dxa" w:w="15"/>
              <w:bottom w:type="dxa" w:w="15"/>
              <w:right w:type="dxa" w:w="15"/>
            </w:tcMar>
            <w:vAlign w:val="center"/>
          </w:tcPr>
          <w:p/>
        </w:tc>
        <w:tc>
          <w:tcPr>
            <w:tcW w:type="dxa" w:w="3930"/>
            <w:tcMar>
              <w:top w:type="dxa" w:w="15"/>
              <w:left w:type="dxa" w:w="15"/>
              <w:bottom w:type="dxa" w:w="15"/>
              <w:right w:type="dxa" w:w="15"/>
            </w:tcMar>
            <w:vAlign w:val="center"/>
          </w:tcPr>
          <w:p w14:paraId="4D000000">
            <w:pPr>
              <w:spacing w:line="276" w:lineRule="auto"/>
              <w:ind/>
              <w:jc w:val="left"/>
              <w:rPr>
                <w:sz w:val="24"/>
              </w:rPr>
            </w:pPr>
            <w:r>
              <w:rPr>
                <w:sz w:val="24"/>
              </w:rPr>
              <w:t>более 400</w:t>
            </w:r>
          </w:p>
        </w:tc>
        <w:tc>
          <w:tcPr>
            <w:tcW w:type="dxa" w:w="2066"/>
            <w:tcMar>
              <w:top w:type="dxa" w:w="15"/>
              <w:left w:type="dxa" w:w="15"/>
              <w:bottom w:type="dxa" w:w="15"/>
              <w:right w:type="dxa" w:w="15"/>
            </w:tcMar>
            <w:vAlign w:val="center"/>
          </w:tcPr>
          <w:p w14:paraId="4E000000">
            <w:pPr>
              <w:spacing w:line="276" w:lineRule="auto"/>
              <w:ind/>
              <w:jc w:val="left"/>
              <w:rPr>
                <w:sz w:val="24"/>
              </w:rPr>
            </w:pPr>
            <w:r>
              <w:rPr>
                <w:sz w:val="24"/>
              </w:rPr>
              <w:t>16</w:t>
            </w:r>
          </w:p>
        </w:tc>
        <w:tc>
          <w:tcPr>
            <w:tcW w:type="dxa" w:w="1754"/>
            <w:tcMar>
              <w:top w:type="dxa" w:w="15"/>
              <w:left w:type="dxa" w:w="15"/>
              <w:bottom w:type="dxa" w:w="15"/>
              <w:right w:type="dxa" w:w="15"/>
            </w:tcMar>
            <w:vAlign w:val="center"/>
          </w:tcPr>
          <w:p w14:paraId="4F000000">
            <w:pPr>
              <w:spacing w:line="276" w:lineRule="auto"/>
              <w:ind/>
              <w:jc w:val="left"/>
              <w:rPr>
                <w:sz w:val="24"/>
              </w:rPr>
            </w:pPr>
            <w:r>
              <w:rPr>
                <w:sz w:val="24"/>
              </w:rPr>
              <w:t>80</w:t>
            </w:r>
          </w:p>
        </w:tc>
        <w:tc>
          <w:tcPr>
            <w:tcW w:type="dxa" w:w="1441"/>
            <w:tcMar>
              <w:top w:type="dxa" w:w="15"/>
              <w:left w:type="dxa" w:w="15"/>
              <w:bottom w:type="dxa" w:w="15"/>
              <w:right w:type="dxa" w:w="15"/>
            </w:tcMar>
            <w:vAlign w:val="center"/>
          </w:tcPr>
          <w:p w14:paraId="50000000">
            <w:pPr>
              <w:spacing w:line="276" w:lineRule="auto"/>
              <w:ind/>
              <w:jc w:val="left"/>
              <w:rPr>
                <w:sz w:val="24"/>
              </w:rPr>
            </w:pPr>
            <w:r>
              <w:rPr>
                <w:sz w:val="24"/>
              </w:rPr>
              <w:t>рубленные</w:t>
            </w:r>
          </w:p>
        </w:tc>
      </w:tr>
    </w:tbl>
    <w:p w14:paraId="51000000">
      <w:pPr>
        <w:spacing w:line="276" w:lineRule="auto"/>
        <w:ind w:firstLine="426" w:left="0"/>
        <w:rPr>
          <w:color w:val="000000"/>
          <w:sz w:val="24"/>
        </w:rPr>
      </w:pPr>
      <w:r>
        <w:rPr>
          <w:color w:val="000000"/>
          <w:sz w:val="24"/>
        </w:rPr>
        <w:t>2.10. Для текстовой информации в электронном учебном издании не допускается применять:</w:t>
      </w:r>
    </w:p>
    <w:p w14:paraId="52000000">
      <w:pPr>
        <w:numPr>
          <w:ilvl w:val="0"/>
          <w:numId w:val="4"/>
        </w:numPr>
        <w:spacing w:line="276" w:lineRule="auto"/>
        <w:ind w:firstLine="426" w:left="0"/>
        <w:rPr>
          <w:color w:val="000000"/>
          <w:sz w:val="24"/>
        </w:rPr>
      </w:pPr>
      <w:r>
        <w:rPr>
          <w:color w:val="000000"/>
          <w:sz w:val="24"/>
        </w:rPr>
        <w:t>узкое начертание шрифта;</w:t>
      </w:r>
    </w:p>
    <w:p w14:paraId="53000000">
      <w:pPr>
        <w:numPr>
          <w:ilvl w:val="0"/>
          <w:numId w:val="4"/>
        </w:numPr>
        <w:spacing w:line="276" w:lineRule="auto"/>
        <w:ind w:firstLine="426" w:left="0"/>
        <w:rPr>
          <w:color w:val="000000"/>
          <w:sz w:val="24"/>
        </w:rPr>
      </w:pPr>
      <w:r>
        <w:rPr>
          <w:color w:val="000000"/>
          <w:sz w:val="24"/>
        </w:rPr>
        <w:t>курсивное начертание шрифта (кроме выделений текста);</w:t>
      </w:r>
    </w:p>
    <w:p w14:paraId="54000000">
      <w:pPr>
        <w:numPr>
          <w:ilvl w:val="0"/>
          <w:numId w:val="4"/>
        </w:numPr>
        <w:spacing w:line="276" w:lineRule="auto"/>
        <w:ind w:firstLine="426" w:left="0"/>
        <w:rPr>
          <w:color w:val="000000"/>
          <w:sz w:val="24"/>
        </w:rPr>
      </w:pPr>
      <w:r>
        <w:rPr>
          <w:color w:val="000000"/>
          <w:sz w:val="24"/>
        </w:rPr>
        <w:t>более четырех цветов шрифта различных длин волн на одной электронной странице;</w:t>
      </w:r>
    </w:p>
    <w:p w14:paraId="55000000">
      <w:pPr>
        <w:numPr>
          <w:ilvl w:val="0"/>
          <w:numId w:val="4"/>
        </w:numPr>
        <w:spacing w:line="276" w:lineRule="auto"/>
        <w:ind w:firstLine="426" w:left="0"/>
        <w:rPr>
          <w:color w:val="000000"/>
          <w:sz w:val="24"/>
        </w:rPr>
      </w:pPr>
      <w:r>
        <w:rPr>
          <w:color w:val="000000"/>
          <w:sz w:val="24"/>
        </w:rPr>
        <w:t>красный фон электронной страницы.</w:t>
      </w:r>
    </w:p>
    <w:p w14:paraId="56000000">
      <w:pPr>
        <w:spacing w:line="276" w:lineRule="auto"/>
        <w:ind w:firstLine="426" w:left="0"/>
        <w:rPr>
          <w:color w:val="000000"/>
          <w:sz w:val="24"/>
        </w:rPr>
      </w:pPr>
      <w:r>
        <w:rPr>
          <w:color w:val="000000"/>
          <w:sz w:val="24"/>
        </w:rPr>
        <w:t>2.11.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p>
    <w:p w14:paraId="57000000">
      <w:pPr>
        <w:spacing w:line="276" w:lineRule="auto"/>
        <w:ind w:firstLine="426" w:left="0"/>
        <w:rPr>
          <w:color w:val="000000"/>
          <w:sz w:val="24"/>
        </w:rPr>
      </w:pPr>
      <w:r>
        <w:rPr>
          <w:color w:val="000000"/>
          <w:sz w:val="24"/>
        </w:rPr>
        <w:t>2.12. Педагогические работники могут использовать на уроке мобильные электронные устройства для входа в «Электронный журнал» класса.</w:t>
      </w:r>
    </w:p>
    <w:p w14:paraId="58000000">
      <w:pPr>
        <w:spacing w:line="276" w:lineRule="auto"/>
        <w:ind w:firstLine="426" w:left="0"/>
        <w:rPr>
          <w:color w:val="000000"/>
          <w:sz w:val="24"/>
        </w:rPr>
      </w:pPr>
      <w:r>
        <w:rPr>
          <w:color w:val="000000"/>
          <w:sz w:val="24"/>
        </w:rPr>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14:paraId="59000000">
      <w:pPr>
        <w:spacing w:line="276" w:lineRule="auto"/>
        <w:ind w:firstLine="426" w:left="0"/>
        <w:rPr>
          <w:sz w:val="24"/>
        </w:rPr>
      </w:pPr>
      <w:r>
        <w:rPr>
          <w:color w:val="000000"/>
          <w:sz w:val="24"/>
        </w:rPr>
        <w:t xml:space="preserve">2.14. 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образовательной организации, директора школы и </w:t>
      </w:r>
      <w:r>
        <w:rPr>
          <w:sz w:val="24"/>
        </w:rPr>
        <w:fldChar w:fldCharType="begin"/>
      </w:r>
      <w:r>
        <w:rPr>
          <w:sz w:val="24"/>
        </w:rPr>
        <w:instrText>HYPERLINK "file:///C:/node/1894"</w:instrText>
      </w:r>
      <w:r>
        <w:rPr>
          <w:sz w:val="24"/>
        </w:rPr>
        <w:fldChar w:fldCharType="separate"/>
      </w:r>
      <w:r>
        <w:rPr>
          <w:sz w:val="24"/>
        </w:rPr>
        <w:t>Комиссии по урегулированию споров в школе</w:t>
      </w:r>
      <w:r>
        <w:rPr>
          <w:sz w:val="24"/>
        </w:rPr>
        <w:fldChar w:fldCharType="end"/>
      </w:r>
      <w:r>
        <w:rPr>
          <w:sz w:val="24"/>
        </w:rPr>
        <w:t>.</w:t>
      </w:r>
    </w:p>
    <w:p w14:paraId="5A000000">
      <w:pPr>
        <w:spacing w:line="276" w:lineRule="auto"/>
        <w:ind w:firstLine="426" w:left="0"/>
        <w:rPr>
          <w:sz w:val="24"/>
        </w:rPr>
      </w:pPr>
    </w:p>
    <w:p w14:paraId="5B000000">
      <w:pPr>
        <w:spacing w:line="276" w:lineRule="auto"/>
        <w:ind w:firstLine="426" w:left="0"/>
        <w:outlineLvl w:val="2"/>
        <w:rPr>
          <w:b w:val="1"/>
          <w:color w:val="000000"/>
          <w:sz w:val="24"/>
        </w:rPr>
      </w:pPr>
      <w:r>
        <w:rPr>
          <w:b w:val="1"/>
          <w:color w:val="000000"/>
          <w:sz w:val="24"/>
        </w:rPr>
        <w:t>3. Права и обязанности обучающихся (пользователей) мобильной связи</w:t>
      </w:r>
    </w:p>
    <w:p w14:paraId="5C000000">
      <w:pPr>
        <w:spacing w:line="276" w:lineRule="auto"/>
        <w:ind w:firstLine="426" w:left="0"/>
        <w:rPr>
          <w:color w:val="000000"/>
          <w:sz w:val="24"/>
        </w:rPr>
      </w:pPr>
      <w:r>
        <w:rPr>
          <w:color w:val="000000"/>
          <w:sz w:val="24"/>
        </w:rPr>
        <w:t>3.1. Пользователи мобильной связи в школе имеют право:</w:t>
      </w:r>
    </w:p>
    <w:p w14:paraId="5D000000">
      <w:pPr>
        <w:numPr>
          <w:ilvl w:val="0"/>
          <w:numId w:val="5"/>
        </w:numPr>
        <w:spacing w:line="276" w:lineRule="auto"/>
        <w:ind w:firstLine="426" w:left="0"/>
        <w:rPr>
          <w:color w:val="000000"/>
          <w:sz w:val="24"/>
        </w:rPr>
      </w:pPr>
      <w:r>
        <w:rPr>
          <w:color w:val="000000"/>
          <w:sz w:val="24"/>
        </w:rPr>
        <w:t>осуществлять и принимать звонки;</w:t>
      </w:r>
    </w:p>
    <w:p w14:paraId="5E000000">
      <w:pPr>
        <w:numPr>
          <w:ilvl w:val="0"/>
          <w:numId w:val="5"/>
        </w:numPr>
        <w:spacing w:line="276" w:lineRule="auto"/>
        <w:ind w:firstLine="426" w:left="0"/>
        <w:rPr>
          <w:color w:val="000000"/>
          <w:sz w:val="24"/>
        </w:rPr>
      </w:pPr>
      <w:r>
        <w:rPr>
          <w:color w:val="000000"/>
          <w:sz w:val="24"/>
        </w:rPr>
        <w:t>звонить и оправлять смс-уведомления только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w:t>
      </w:r>
    </w:p>
    <w:p w14:paraId="5F000000">
      <w:pPr>
        <w:numPr>
          <w:ilvl w:val="0"/>
          <w:numId w:val="5"/>
        </w:numPr>
        <w:spacing w:line="276" w:lineRule="auto"/>
        <w:ind w:firstLine="426" w:left="0"/>
        <w:rPr>
          <w:color w:val="000000"/>
          <w:sz w:val="24"/>
        </w:rPr>
      </w:pPr>
      <w:r>
        <w:rPr>
          <w:color w:val="000000"/>
          <w:sz w:val="24"/>
        </w:rPr>
        <w:t>прослушивать аудиозаписи с использованием наушников;</w:t>
      </w:r>
    </w:p>
    <w:p w14:paraId="60000000">
      <w:pPr>
        <w:numPr>
          <w:ilvl w:val="0"/>
          <w:numId w:val="5"/>
        </w:numPr>
        <w:spacing w:line="276" w:lineRule="auto"/>
        <w:ind w:firstLine="426" w:left="0"/>
        <w:rPr>
          <w:color w:val="000000"/>
          <w:sz w:val="24"/>
        </w:rPr>
      </w:pPr>
      <w:r>
        <w:rPr>
          <w:color w:val="000000"/>
          <w:sz w:val="24"/>
        </w:rPr>
        <w:t>играть в мобильном устройстве;</w:t>
      </w:r>
    </w:p>
    <w:p w14:paraId="61000000">
      <w:pPr>
        <w:numPr>
          <w:ilvl w:val="0"/>
          <w:numId w:val="5"/>
        </w:numPr>
        <w:spacing w:line="276" w:lineRule="auto"/>
        <w:ind w:firstLine="426" w:left="0"/>
        <w:rPr>
          <w:color w:val="000000"/>
          <w:sz w:val="24"/>
        </w:rPr>
      </w:pPr>
      <w:r>
        <w:rPr>
          <w:color w:val="000000"/>
          <w:sz w:val="24"/>
        </w:rPr>
        <w:t>вести фото- и видео-съемку лиц, находящихся в образовательной организации с их согласия.</w:t>
      </w:r>
    </w:p>
    <w:p w14:paraId="62000000">
      <w:pPr>
        <w:spacing w:line="276" w:lineRule="auto"/>
        <w:ind w:firstLine="426" w:left="0"/>
        <w:rPr>
          <w:color w:val="000000"/>
          <w:sz w:val="24"/>
        </w:rPr>
      </w:pPr>
      <w:r>
        <w:rPr>
          <w:color w:val="000000"/>
          <w:sz w:val="24"/>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14:paraId="63000000">
      <w:pPr>
        <w:spacing w:line="276" w:lineRule="auto"/>
        <w:ind w:firstLine="426" w:left="0"/>
        <w:rPr>
          <w:color w:val="000000"/>
          <w:sz w:val="24"/>
        </w:rPr>
      </w:pPr>
      <w:r>
        <w:rPr>
          <w:color w:val="000000"/>
          <w:sz w:val="24"/>
        </w:rPr>
        <w:t>3.3. В целях обеспечения сохранности средств мобильной связи обучающийся обязан не оставлять их без присмотра.</w:t>
      </w:r>
    </w:p>
    <w:p w14:paraId="64000000">
      <w:pPr>
        <w:ind w:firstLine="426" w:left="0"/>
        <w:rPr>
          <w:color w:val="000000"/>
          <w:sz w:val="24"/>
        </w:rPr>
      </w:pPr>
    </w:p>
    <w:p w14:paraId="65000000">
      <w:pPr>
        <w:spacing w:line="276" w:lineRule="auto"/>
        <w:ind w:firstLine="426" w:left="0"/>
        <w:outlineLvl w:val="2"/>
        <w:rPr>
          <w:b w:val="1"/>
          <w:color w:val="000000"/>
          <w:sz w:val="24"/>
        </w:rPr>
      </w:pPr>
      <w:r>
        <w:rPr>
          <w:b w:val="1"/>
          <w:color w:val="000000"/>
          <w:sz w:val="24"/>
        </w:rPr>
        <w:t>4. Ответственность пользователей мобильной связи</w:t>
      </w:r>
    </w:p>
    <w:p w14:paraId="66000000">
      <w:pPr>
        <w:spacing w:line="276" w:lineRule="auto"/>
        <w:ind w:firstLine="426" w:left="0"/>
        <w:outlineLvl w:val="2"/>
        <w:rPr>
          <w:color w:val="000000"/>
          <w:sz w:val="24"/>
        </w:rPr>
      </w:pPr>
      <w:r>
        <w:rPr>
          <w:color w:val="000000"/>
          <w:sz w:val="24"/>
        </w:rPr>
        <w:t xml:space="preserve">4.1. </w:t>
      </w:r>
      <w:r>
        <w:rPr>
          <w:color w:val="000000"/>
          <w:sz w:val="24"/>
        </w:rPr>
        <w:t>В результате нарушения настоящего Положения обучающимся предусматривается</w:t>
      </w:r>
      <w:r>
        <w:rPr>
          <w:color w:val="000000"/>
          <w:sz w:val="24"/>
        </w:rPr>
        <w:t xml:space="preserve"> применение дисциплинарной ответственности согласно Федеральному закону № 273-ФЗ «об образовании»;</w:t>
      </w:r>
    </w:p>
    <w:p w14:paraId="67000000">
      <w:pPr>
        <w:numPr>
          <w:ilvl w:val="0"/>
          <w:numId w:val="6"/>
        </w:numPr>
        <w:spacing w:line="276" w:lineRule="auto"/>
        <w:ind/>
        <w:outlineLvl w:val="2"/>
        <w:rPr>
          <w:color w:val="000000"/>
          <w:sz w:val="24"/>
        </w:rPr>
      </w:pPr>
      <w:r>
        <w:rPr>
          <w:color w:val="000000"/>
          <w:sz w:val="24"/>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14:paraId="68000000">
      <w:pPr>
        <w:numPr>
          <w:ilvl w:val="0"/>
          <w:numId w:val="7"/>
        </w:numPr>
        <w:spacing w:line="276" w:lineRule="auto"/>
        <w:ind w:firstLine="426" w:left="0"/>
        <w:rPr>
          <w:color w:val="000000"/>
          <w:sz w:val="24"/>
        </w:rPr>
      </w:pPr>
      <w:r>
        <w:rPr>
          <w:color w:val="000000"/>
          <w:sz w:val="24"/>
        </w:rPr>
        <w:t>за неоднократное – в виде докладной записки на имя заместителя директора школы по воспитательной работе</w:t>
      </w:r>
      <w:r>
        <w:rPr>
          <w:color w:val="000000"/>
          <w:sz w:val="24"/>
        </w:rPr>
        <w:t>.</w:t>
      </w:r>
      <w:r>
        <w:rPr>
          <w:color w:val="000000"/>
          <w:sz w:val="24"/>
        </w:rPr>
        <w:t xml:space="preserve"> </w:t>
      </w:r>
      <w:r>
        <w:rPr>
          <w:color w:val="000000"/>
          <w:sz w:val="24"/>
        </w:rPr>
        <w:t>П</w:t>
      </w:r>
      <w:r>
        <w:rPr>
          <w:color w:val="000000"/>
          <w:sz w:val="24"/>
        </w:rPr>
        <w:t>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14:paraId="69000000">
      <w:pPr>
        <w:numPr>
          <w:ilvl w:val="0"/>
          <w:numId w:val="7"/>
        </w:numPr>
        <w:spacing w:line="276" w:lineRule="auto"/>
        <w:ind w:firstLine="426" w:left="0"/>
        <w:rPr>
          <w:color w:val="000000"/>
          <w:sz w:val="24"/>
        </w:rPr>
      </w:pPr>
      <w:r>
        <w:rPr>
          <w:color w:val="000000"/>
          <w:sz w:val="24"/>
        </w:rPr>
        <w:t>при повторных нарушениях проводится изъятие средств мобильной связи и других электронных устройств, заранее получив согласие родителей (законных представителей), и передача им данных предметов вплоть до запрета ношения в образовательную организацию средств мобильной связи и других электронных устройств.</w:t>
      </w:r>
    </w:p>
    <w:p w14:paraId="6A000000">
      <w:pPr>
        <w:spacing w:line="276" w:lineRule="auto"/>
        <w:ind w:firstLine="426" w:left="0"/>
        <w:rPr>
          <w:color w:val="000000"/>
          <w:sz w:val="24"/>
        </w:rPr>
      </w:pPr>
      <w:r>
        <w:rPr>
          <w:color w:val="000000"/>
          <w:sz w:val="24"/>
        </w:rPr>
        <w:t xml:space="preserve">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w:t>
      </w:r>
      <w:r>
        <w:rPr>
          <w:color w:val="000000"/>
          <w:sz w:val="24"/>
        </w:rPr>
        <w:t>МБОУ «Причулымская ООШ».</w:t>
      </w:r>
    </w:p>
    <w:p w14:paraId="6B000000">
      <w:pPr>
        <w:spacing w:line="276" w:lineRule="auto"/>
        <w:ind w:firstLine="426" w:left="0"/>
        <w:rPr>
          <w:color w:val="000000"/>
          <w:sz w:val="24"/>
        </w:rPr>
      </w:pPr>
    </w:p>
    <w:p w14:paraId="6C000000">
      <w:pPr>
        <w:spacing w:line="276" w:lineRule="auto"/>
        <w:ind w:firstLine="426" w:left="0"/>
        <w:outlineLvl w:val="2"/>
        <w:rPr>
          <w:b w:val="1"/>
          <w:color w:val="000000"/>
          <w:sz w:val="24"/>
        </w:rPr>
      </w:pPr>
      <w:r>
        <w:rPr>
          <w:b w:val="1"/>
          <w:color w:val="000000"/>
          <w:sz w:val="24"/>
        </w:rPr>
        <w:t>5. Заключительные положения</w:t>
      </w:r>
    </w:p>
    <w:p w14:paraId="6D000000">
      <w:pPr>
        <w:spacing w:line="276" w:lineRule="auto"/>
        <w:ind w:firstLine="426" w:left="0"/>
        <w:rPr>
          <w:color w:val="000000"/>
          <w:sz w:val="24"/>
        </w:rPr>
      </w:pPr>
      <w:r>
        <w:rPr>
          <w:color w:val="000000"/>
          <w:sz w:val="24"/>
        </w:rPr>
        <w:t xml:space="preserve">5.1. Настоящее </w:t>
      </w:r>
      <w:r>
        <w:rPr>
          <w:color w:val="000000"/>
          <w:sz w:val="24"/>
        </w:rPr>
        <w:t xml:space="preserve">Положение </w:t>
      </w:r>
      <w:r>
        <w:rPr>
          <w:color w:val="000000"/>
          <w:sz w:val="24"/>
        </w:rPr>
        <w:t>является локальным нормативным актом школы, принимается на Педагогическом совете и утверждаются (вводится в действие) приказом директора</w:t>
      </w:r>
      <w:r>
        <w:rPr>
          <w:color w:val="000000"/>
          <w:sz w:val="24"/>
        </w:rPr>
        <w:t>.</w:t>
      </w:r>
    </w:p>
    <w:p w14:paraId="6E000000">
      <w:pPr>
        <w:spacing w:line="276" w:lineRule="auto"/>
        <w:ind w:firstLine="426" w:left="0"/>
        <w:rPr>
          <w:color w:val="000000"/>
          <w:sz w:val="24"/>
        </w:rPr>
      </w:pPr>
      <w:r>
        <w:rPr>
          <w:color w:val="000000"/>
          <w:sz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F000000">
      <w:pPr>
        <w:spacing w:line="276" w:lineRule="auto"/>
        <w:ind w:firstLine="426" w:left="0"/>
        <w:rPr>
          <w:color w:val="000000"/>
          <w:sz w:val="24"/>
        </w:rPr>
      </w:pPr>
      <w:r>
        <w:rPr>
          <w:color w:val="000000"/>
          <w:sz w:val="24"/>
        </w:rP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p>
    <w:p w14:paraId="70000000">
      <w:pPr>
        <w:spacing w:line="276" w:lineRule="auto"/>
        <w:ind w:firstLine="426" w:left="0"/>
        <w:rPr>
          <w:color w:val="000000"/>
          <w:sz w:val="24"/>
        </w:rPr>
      </w:pPr>
      <w:r>
        <w:rPr>
          <w:color w:val="000000"/>
          <w:sz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1000000">
      <w:pPr>
        <w:ind w:firstLine="426" w:left="0"/>
        <w:jc w:val="right"/>
        <w:rPr>
          <w:i w:val="1"/>
          <w:color w:val="000000"/>
          <w:sz w:val="24"/>
        </w:rPr>
      </w:pPr>
      <w:r>
        <w:rPr>
          <w:i w:val="1"/>
          <w:color w:val="000000"/>
          <w:sz w:val="24"/>
        </w:rPr>
        <w:t>Приложение</w:t>
      </w:r>
      <w:r>
        <w:rPr>
          <w:i w:val="1"/>
          <w:color w:val="000000"/>
          <w:sz w:val="24"/>
        </w:rPr>
        <w:t xml:space="preserve">  №</w:t>
      </w:r>
      <w:r>
        <w:rPr>
          <w:i w:val="1"/>
          <w:color w:val="000000"/>
          <w:sz w:val="24"/>
        </w:rPr>
        <w:t xml:space="preserve"> 1</w:t>
      </w:r>
    </w:p>
    <w:p w14:paraId="72000000">
      <w:pPr>
        <w:ind w:firstLine="426" w:left="0"/>
        <w:jc w:val="center"/>
        <w:rPr>
          <w:b w:val="1"/>
          <w:color w:val="000000"/>
          <w:sz w:val="24"/>
        </w:rPr>
      </w:pPr>
      <w:r>
        <w:rPr>
          <w:b w:val="1"/>
          <w:color w:val="000000"/>
          <w:sz w:val="24"/>
        </w:rPr>
        <w:t>Лист ознакомления обучающихся с Положением об использовании мобильных телефонов и других средств коммуникации в школе</w:t>
      </w:r>
    </w:p>
    <w:p w14:paraId="73000000">
      <w:pPr>
        <w:ind w:firstLine="426" w:left="0"/>
        <w:jc w:val="center"/>
        <w:rPr>
          <w:color w:val="000000"/>
          <w:sz w:val="24"/>
        </w:rPr>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4"/>
        <w:gridCol w:w="5949"/>
        <w:gridCol w:w="1761"/>
        <w:gridCol w:w="1790"/>
      </w:tblGrid>
      <w:tr>
        <w:tc>
          <w:tcPr>
            <w:tcW w:type="dxa" w:w="694"/>
            <w:tcBorders>
              <w:top w:color="000000" w:sz="4" w:val="single"/>
              <w:left w:color="000000" w:sz="4" w:val="single"/>
              <w:bottom w:color="000000" w:sz="4" w:val="single"/>
              <w:right w:color="000000" w:sz="4" w:val="single"/>
            </w:tcBorders>
            <w:vAlign w:val="center"/>
          </w:tcPr>
          <w:p w14:paraId="74000000">
            <w:pPr>
              <w:ind/>
              <w:jc w:val="center"/>
              <w:rPr>
                <w:b w:val="1"/>
                <w:color w:val="000000"/>
                <w:sz w:val="24"/>
              </w:rPr>
            </w:pPr>
            <w:r>
              <w:rPr>
                <w:b w:val="1"/>
                <w:color w:val="000000"/>
                <w:sz w:val="24"/>
              </w:rPr>
              <w:t>№ п/п/</w:t>
            </w:r>
          </w:p>
        </w:tc>
        <w:tc>
          <w:tcPr>
            <w:tcW w:type="dxa" w:w="5949"/>
            <w:tcBorders>
              <w:top w:color="000000" w:sz="4" w:val="single"/>
              <w:left w:color="000000" w:sz="4" w:val="single"/>
              <w:bottom w:color="000000" w:sz="4" w:val="single"/>
              <w:right w:color="000000" w:sz="4" w:val="single"/>
            </w:tcBorders>
            <w:vAlign w:val="center"/>
          </w:tcPr>
          <w:p w14:paraId="75000000">
            <w:pPr>
              <w:ind/>
              <w:jc w:val="center"/>
              <w:rPr>
                <w:b w:val="1"/>
                <w:color w:val="000000"/>
                <w:sz w:val="24"/>
              </w:rPr>
            </w:pPr>
            <w:r>
              <w:rPr>
                <w:b w:val="1"/>
                <w:color w:val="000000"/>
                <w:sz w:val="24"/>
              </w:rPr>
              <w:t>ФИО обучающегося</w:t>
            </w:r>
          </w:p>
        </w:tc>
        <w:tc>
          <w:tcPr>
            <w:tcW w:type="dxa" w:w="1761"/>
            <w:tcBorders>
              <w:top w:color="000000" w:sz="4" w:val="single"/>
              <w:left w:color="000000" w:sz="4" w:val="single"/>
              <w:bottom w:color="000000" w:sz="4" w:val="single"/>
              <w:right w:color="000000" w:sz="4" w:val="single"/>
            </w:tcBorders>
            <w:vAlign w:val="center"/>
          </w:tcPr>
          <w:p w14:paraId="76000000">
            <w:pPr>
              <w:ind/>
              <w:jc w:val="center"/>
              <w:rPr>
                <w:b w:val="1"/>
                <w:color w:val="000000"/>
                <w:sz w:val="24"/>
              </w:rPr>
            </w:pPr>
            <w:r>
              <w:rPr>
                <w:b w:val="1"/>
                <w:color w:val="000000"/>
                <w:sz w:val="24"/>
              </w:rPr>
              <w:t>Дата ознакомления</w:t>
            </w:r>
          </w:p>
        </w:tc>
        <w:tc>
          <w:tcPr>
            <w:tcW w:type="dxa" w:w="1790"/>
            <w:tcBorders>
              <w:top w:color="000000" w:sz="4" w:val="single"/>
              <w:left w:color="000000" w:sz="4" w:val="single"/>
              <w:bottom w:color="000000" w:sz="4" w:val="single"/>
              <w:right w:color="000000" w:sz="4" w:val="single"/>
            </w:tcBorders>
            <w:vAlign w:val="center"/>
          </w:tcPr>
          <w:p w14:paraId="77000000">
            <w:pPr>
              <w:ind/>
              <w:jc w:val="center"/>
              <w:rPr>
                <w:b w:val="1"/>
                <w:color w:val="000000"/>
                <w:sz w:val="24"/>
              </w:rPr>
            </w:pPr>
            <w:r>
              <w:rPr>
                <w:b w:val="1"/>
                <w:color w:val="000000"/>
                <w:sz w:val="24"/>
              </w:rPr>
              <w:t>Подпись обучающегося</w:t>
            </w:r>
          </w:p>
        </w:tc>
      </w:tr>
      <w:tr>
        <w:tc>
          <w:tcPr>
            <w:tcW w:type="dxa" w:w="694"/>
            <w:tcBorders>
              <w:top w:color="000000" w:sz="4" w:val="single"/>
              <w:left w:color="000000" w:sz="4" w:val="single"/>
              <w:bottom w:color="000000" w:sz="4" w:val="single"/>
              <w:right w:color="000000" w:sz="4" w:val="single"/>
            </w:tcBorders>
          </w:tcPr>
          <w:p w14:paraId="78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79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7A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7B000000">
            <w:pPr>
              <w:ind/>
              <w:jc w:val="center"/>
              <w:rPr>
                <w:color w:val="000000"/>
                <w:sz w:val="24"/>
              </w:rPr>
            </w:pPr>
          </w:p>
        </w:tc>
      </w:tr>
      <w:tr>
        <w:tc>
          <w:tcPr>
            <w:tcW w:type="dxa" w:w="694"/>
            <w:tcBorders>
              <w:top w:color="000000" w:sz="4" w:val="single"/>
              <w:left w:color="000000" w:sz="4" w:val="single"/>
              <w:bottom w:color="000000" w:sz="4" w:val="single"/>
              <w:right w:color="000000" w:sz="4" w:val="single"/>
            </w:tcBorders>
          </w:tcPr>
          <w:p w14:paraId="7C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7D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7E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7F000000">
            <w:pPr>
              <w:ind/>
              <w:jc w:val="center"/>
              <w:rPr>
                <w:color w:val="000000"/>
                <w:sz w:val="24"/>
              </w:rPr>
            </w:pPr>
          </w:p>
        </w:tc>
      </w:tr>
      <w:tr>
        <w:tc>
          <w:tcPr>
            <w:tcW w:type="dxa" w:w="694"/>
            <w:tcBorders>
              <w:top w:color="000000" w:sz="4" w:val="single"/>
              <w:left w:color="000000" w:sz="4" w:val="single"/>
              <w:bottom w:color="000000" w:sz="4" w:val="single"/>
              <w:right w:color="000000" w:sz="4" w:val="single"/>
            </w:tcBorders>
          </w:tcPr>
          <w:p w14:paraId="80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81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82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83000000">
            <w:pPr>
              <w:ind/>
              <w:jc w:val="center"/>
              <w:rPr>
                <w:color w:val="000000"/>
                <w:sz w:val="24"/>
              </w:rPr>
            </w:pPr>
          </w:p>
        </w:tc>
      </w:tr>
      <w:tr>
        <w:tc>
          <w:tcPr>
            <w:tcW w:type="dxa" w:w="694"/>
            <w:tcBorders>
              <w:top w:color="000000" w:sz="4" w:val="single"/>
              <w:left w:color="000000" w:sz="4" w:val="single"/>
              <w:bottom w:color="000000" w:sz="4" w:val="single"/>
              <w:right w:color="000000" w:sz="4" w:val="single"/>
            </w:tcBorders>
          </w:tcPr>
          <w:p w14:paraId="84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85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86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87000000">
            <w:pPr>
              <w:ind/>
              <w:jc w:val="center"/>
              <w:rPr>
                <w:color w:val="000000"/>
                <w:sz w:val="24"/>
              </w:rPr>
            </w:pPr>
          </w:p>
        </w:tc>
      </w:tr>
      <w:tr>
        <w:tc>
          <w:tcPr>
            <w:tcW w:type="dxa" w:w="694"/>
            <w:tcBorders>
              <w:top w:color="000000" w:sz="4" w:val="single"/>
              <w:left w:color="000000" w:sz="4" w:val="single"/>
              <w:bottom w:color="000000" w:sz="4" w:val="single"/>
              <w:right w:color="000000" w:sz="4" w:val="single"/>
            </w:tcBorders>
          </w:tcPr>
          <w:p w14:paraId="88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89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8A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8B000000">
            <w:pPr>
              <w:ind/>
              <w:jc w:val="center"/>
              <w:rPr>
                <w:color w:val="000000"/>
                <w:sz w:val="24"/>
              </w:rPr>
            </w:pPr>
          </w:p>
        </w:tc>
      </w:tr>
      <w:tr>
        <w:tc>
          <w:tcPr>
            <w:tcW w:type="dxa" w:w="694"/>
            <w:tcBorders>
              <w:top w:color="000000" w:sz="4" w:val="single"/>
              <w:left w:color="000000" w:sz="4" w:val="single"/>
              <w:bottom w:color="000000" w:sz="4" w:val="single"/>
              <w:right w:color="000000" w:sz="4" w:val="single"/>
            </w:tcBorders>
          </w:tcPr>
          <w:p w14:paraId="8C000000">
            <w:pPr>
              <w:pStyle w:val="Style_2"/>
              <w:numPr>
                <w:ilvl w:val="0"/>
                <w:numId w:val="8"/>
              </w:numPr>
              <w:ind/>
              <w:jc w:val="center"/>
              <w:rPr>
                <w:color w:val="000000"/>
                <w:sz w:val="24"/>
              </w:rPr>
            </w:pPr>
          </w:p>
        </w:tc>
        <w:tc>
          <w:tcPr>
            <w:tcW w:type="dxa" w:w="5949"/>
            <w:tcBorders>
              <w:top w:color="000000" w:sz="4" w:val="single"/>
              <w:left w:color="000000" w:sz="4" w:val="single"/>
              <w:bottom w:color="000000" w:sz="4" w:val="single"/>
              <w:right w:color="000000" w:sz="4" w:val="single"/>
            </w:tcBorders>
          </w:tcPr>
          <w:p w14:paraId="8D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8E000000">
            <w:pPr>
              <w:ind/>
              <w:jc w:val="center"/>
              <w:rPr>
                <w:color w:val="000000"/>
                <w:sz w:val="24"/>
              </w:rPr>
            </w:pPr>
          </w:p>
        </w:tc>
        <w:tc>
          <w:tcPr>
            <w:tcW w:type="dxa" w:w="1790"/>
            <w:tcBorders>
              <w:top w:color="000000" w:sz="4" w:val="single"/>
              <w:left w:color="000000" w:sz="4" w:val="single"/>
              <w:bottom w:color="000000" w:sz="4" w:val="single"/>
              <w:right w:color="000000" w:sz="4" w:val="single"/>
            </w:tcBorders>
          </w:tcPr>
          <w:p w14:paraId="8F000000">
            <w:pPr>
              <w:ind/>
              <w:jc w:val="center"/>
              <w:rPr>
                <w:color w:val="000000"/>
                <w:sz w:val="24"/>
              </w:rPr>
            </w:pPr>
          </w:p>
        </w:tc>
      </w:tr>
    </w:tbl>
    <w:p w14:paraId="90000000">
      <w:pPr>
        <w:ind/>
        <w:jc w:val="center"/>
        <w:rPr>
          <w:color w:val="000000"/>
          <w:sz w:val="24"/>
        </w:rPr>
      </w:pPr>
      <w:r>
        <w:rPr>
          <w:color w:val="000000"/>
          <w:sz w:val="24"/>
        </w:rPr>
        <w:t xml:space="preserve">Классный руководитель </w:t>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color w:val="000000"/>
          <w:sz w:val="24"/>
        </w:rPr>
        <w:t>_______________/________________</w:t>
      </w:r>
    </w:p>
    <w:p w14:paraId="91000000">
      <w:pPr>
        <w:ind w:firstLine="708" w:left="5664"/>
        <w:jc w:val="left"/>
        <w:rPr>
          <w:color w:val="000000"/>
          <w:sz w:val="24"/>
          <w:vertAlign w:val="superscript"/>
        </w:rPr>
      </w:pPr>
      <w:r>
        <w:rPr>
          <w:color w:val="000000"/>
          <w:sz w:val="24"/>
          <w:vertAlign w:val="superscript"/>
        </w:rPr>
        <w:t xml:space="preserve">     </w:t>
      </w:r>
      <w:r>
        <w:rPr>
          <w:color w:val="000000"/>
          <w:sz w:val="24"/>
          <w:vertAlign w:val="superscript"/>
        </w:rPr>
        <w:t>(подпись)</w:t>
      </w:r>
      <w:r>
        <w:rPr>
          <w:color w:val="000000"/>
          <w:sz w:val="24"/>
          <w:vertAlign w:val="superscript"/>
        </w:rPr>
        <w:tab/>
      </w:r>
      <w:r>
        <w:rPr>
          <w:color w:val="000000"/>
          <w:sz w:val="24"/>
          <w:vertAlign w:val="superscript"/>
        </w:rPr>
        <w:t xml:space="preserve"> </w:t>
      </w:r>
      <w:r>
        <w:rPr>
          <w:color w:val="000000"/>
          <w:sz w:val="24"/>
          <w:vertAlign w:val="superscript"/>
        </w:rPr>
        <w:t xml:space="preserve">        </w:t>
      </w:r>
      <w:r>
        <w:rPr>
          <w:color w:val="000000"/>
          <w:sz w:val="24"/>
          <w:vertAlign w:val="superscript"/>
        </w:rPr>
        <w:t>(расшифровка подписи)</w:t>
      </w:r>
    </w:p>
    <w:p w14:paraId="92000000">
      <w:pPr>
        <w:ind w:firstLine="426" w:left="0"/>
        <w:jc w:val="right"/>
        <w:rPr>
          <w:i w:val="1"/>
          <w:color w:val="000000"/>
          <w:sz w:val="24"/>
        </w:rPr>
      </w:pPr>
    </w:p>
    <w:p w14:paraId="93000000">
      <w:pPr>
        <w:ind w:firstLine="426" w:left="0"/>
        <w:jc w:val="right"/>
        <w:rPr>
          <w:i w:val="1"/>
          <w:color w:val="000000"/>
          <w:sz w:val="24"/>
        </w:rPr>
      </w:pPr>
      <w:r>
        <w:rPr>
          <w:i w:val="1"/>
          <w:color w:val="000000"/>
          <w:sz w:val="24"/>
        </w:rPr>
        <w:t>Приложение</w:t>
      </w:r>
      <w:r>
        <w:rPr>
          <w:i w:val="1"/>
          <w:color w:val="000000"/>
          <w:sz w:val="24"/>
        </w:rPr>
        <w:t xml:space="preserve"> №</w:t>
      </w:r>
      <w:r>
        <w:rPr>
          <w:i w:val="1"/>
          <w:color w:val="000000"/>
          <w:sz w:val="24"/>
        </w:rPr>
        <w:t xml:space="preserve"> 2</w:t>
      </w:r>
    </w:p>
    <w:p w14:paraId="94000000">
      <w:pPr>
        <w:ind w:firstLine="426" w:left="0"/>
        <w:jc w:val="right"/>
        <w:rPr>
          <w:i w:val="1"/>
          <w:color w:val="000000"/>
          <w:sz w:val="24"/>
        </w:rPr>
      </w:pPr>
    </w:p>
    <w:p w14:paraId="95000000">
      <w:pPr>
        <w:ind/>
        <w:jc w:val="center"/>
        <w:rPr>
          <w:b w:val="1"/>
          <w:color w:val="000000"/>
          <w:sz w:val="24"/>
        </w:rPr>
      </w:pPr>
      <w:r>
        <w:rPr>
          <w:b w:val="1"/>
          <w:color w:val="000000"/>
          <w:sz w:val="24"/>
        </w:rPr>
        <w:t>Лист ознакомления родителей (законных представителей) с Положением об использовании мобильных телефонов и других средств коммуникации в школе</w:t>
      </w:r>
    </w:p>
    <w:p w14:paraId="96000000">
      <w:pPr>
        <w:ind w:firstLine="426" w:left="0"/>
        <w:jc w:val="center"/>
        <w:rPr>
          <w:color w:val="000000"/>
          <w:sz w:val="24"/>
        </w:rPr>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7"/>
        <w:gridCol w:w="6088"/>
        <w:gridCol w:w="1761"/>
        <w:gridCol w:w="1648"/>
      </w:tblGrid>
      <w:tr>
        <w:tc>
          <w:tcPr>
            <w:tcW w:type="dxa" w:w="697"/>
            <w:tcBorders>
              <w:top w:color="000000" w:sz="4" w:val="single"/>
              <w:left w:color="000000" w:sz="4" w:val="single"/>
              <w:bottom w:color="000000" w:sz="4" w:val="single"/>
              <w:right w:color="000000" w:sz="4" w:val="single"/>
            </w:tcBorders>
            <w:vAlign w:val="center"/>
          </w:tcPr>
          <w:p w14:paraId="97000000">
            <w:pPr>
              <w:ind/>
              <w:jc w:val="center"/>
              <w:rPr>
                <w:b w:val="1"/>
                <w:color w:val="000000"/>
                <w:sz w:val="24"/>
              </w:rPr>
            </w:pPr>
            <w:r>
              <w:rPr>
                <w:b w:val="1"/>
                <w:color w:val="000000"/>
                <w:sz w:val="24"/>
              </w:rPr>
              <w:t>№ п/п/</w:t>
            </w:r>
          </w:p>
        </w:tc>
        <w:tc>
          <w:tcPr>
            <w:tcW w:type="dxa" w:w="6088"/>
            <w:tcBorders>
              <w:top w:color="000000" w:sz="4" w:val="single"/>
              <w:left w:color="000000" w:sz="4" w:val="single"/>
              <w:bottom w:color="000000" w:sz="4" w:val="single"/>
              <w:right w:color="000000" w:sz="4" w:val="single"/>
            </w:tcBorders>
            <w:vAlign w:val="center"/>
          </w:tcPr>
          <w:p w14:paraId="98000000">
            <w:pPr>
              <w:ind/>
              <w:jc w:val="center"/>
              <w:rPr>
                <w:b w:val="1"/>
                <w:color w:val="000000"/>
                <w:sz w:val="24"/>
              </w:rPr>
            </w:pPr>
            <w:r>
              <w:rPr>
                <w:b w:val="1"/>
                <w:color w:val="000000"/>
                <w:sz w:val="24"/>
              </w:rPr>
              <w:t>ФИО родителя</w:t>
            </w:r>
          </w:p>
        </w:tc>
        <w:tc>
          <w:tcPr>
            <w:tcW w:type="dxa" w:w="1761"/>
            <w:tcBorders>
              <w:top w:color="000000" w:sz="4" w:val="single"/>
              <w:left w:color="000000" w:sz="4" w:val="single"/>
              <w:bottom w:color="000000" w:sz="4" w:val="single"/>
              <w:right w:color="000000" w:sz="4" w:val="single"/>
            </w:tcBorders>
            <w:vAlign w:val="center"/>
          </w:tcPr>
          <w:p w14:paraId="99000000">
            <w:pPr>
              <w:ind/>
              <w:jc w:val="center"/>
              <w:rPr>
                <w:b w:val="1"/>
                <w:color w:val="000000"/>
                <w:sz w:val="24"/>
              </w:rPr>
            </w:pPr>
            <w:r>
              <w:rPr>
                <w:b w:val="1"/>
                <w:color w:val="000000"/>
                <w:sz w:val="24"/>
              </w:rPr>
              <w:t>Дата ознакомления</w:t>
            </w:r>
          </w:p>
        </w:tc>
        <w:tc>
          <w:tcPr>
            <w:tcW w:type="dxa" w:w="1648"/>
            <w:tcBorders>
              <w:top w:color="000000" w:sz="4" w:val="single"/>
              <w:left w:color="000000" w:sz="4" w:val="single"/>
              <w:bottom w:color="000000" w:sz="4" w:val="single"/>
              <w:right w:color="000000" w:sz="4" w:val="single"/>
            </w:tcBorders>
            <w:vAlign w:val="center"/>
          </w:tcPr>
          <w:p w14:paraId="9A000000">
            <w:pPr>
              <w:ind/>
              <w:jc w:val="center"/>
              <w:rPr>
                <w:b w:val="1"/>
                <w:color w:val="000000"/>
                <w:sz w:val="24"/>
              </w:rPr>
            </w:pPr>
            <w:r>
              <w:rPr>
                <w:b w:val="1"/>
                <w:color w:val="000000"/>
                <w:sz w:val="24"/>
              </w:rPr>
              <w:t>Подпись</w:t>
            </w:r>
          </w:p>
        </w:tc>
      </w:tr>
      <w:tr>
        <w:tc>
          <w:tcPr>
            <w:tcW w:type="dxa" w:w="697"/>
            <w:tcBorders>
              <w:top w:color="000000" w:sz="4" w:val="single"/>
              <w:left w:color="000000" w:sz="4" w:val="single"/>
              <w:bottom w:color="000000" w:sz="4" w:val="single"/>
              <w:right w:color="000000" w:sz="4" w:val="single"/>
            </w:tcBorders>
          </w:tcPr>
          <w:p w14:paraId="9B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9C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9D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9E000000">
            <w:pPr>
              <w:ind/>
              <w:jc w:val="center"/>
              <w:rPr>
                <w:color w:val="000000"/>
                <w:sz w:val="24"/>
              </w:rPr>
            </w:pPr>
          </w:p>
        </w:tc>
      </w:tr>
      <w:tr>
        <w:tc>
          <w:tcPr>
            <w:tcW w:type="dxa" w:w="697"/>
            <w:tcBorders>
              <w:top w:color="000000" w:sz="4" w:val="single"/>
              <w:left w:color="000000" w:sz="4" w:val="single"/>
              <w:bottom w:color="000000" w:sz="4" w:val="single"/>
              <w:right w:color="000000" w:sz="4" w:val="single"/>
            </w:tcBorders>
          </w:tcPr>
          <w:p w14:paraId="9F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A0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A1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A2000000">
            <w:pPr>
              <w:ind/>
              <w:jc w:val="center"/>
              <w:rPr>
                <w:color w:val="000000"/>
                <w:sz w:val="24"/>
              </w:rPr>
            </w:pPr>
          </w:p>
        </w:tc>
      </w:tr>
      <w:tr>
        <w:tc>
          <w:tcPr>
            <w:tcW w:type="dxa" w:w="697"/>
            <w:tcBorders>
              <w:top w:color="000000" w:sz="4" w:val="single"/>
              <w:left w:color="000000" w:sz="4" w:val="single"/>
              <w:bottom w:color="000000" w:sz="4" w:val="single"/>
              <w:right w:color="000000" w:sz="4" w:val="single"/>
            </w:tcBorders>
          </w:tcPr>
          <w:p w14:paraId="A3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A4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A5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A6000000">
            <w:pPr>
              <w:ind/>
              <w:jc w:val="center"/>
              <w:rPr>
                <w:color w:val="000000"/>
                <w:sz w:val="24"/>
              </w:rPr>
            </w:pPr>
          </w:p>
        </w:tc>
      </w:tr>
      <w:tr>
        <w:tc>
          <w:tcPr>
            <w:tcW w:type="dxa" w:w="697"/>
            <w:tcBorders>
              <w:top w:color="000000" w:sz="4" w:val="single"/>
              <w:left w:color="000000" w:sz="4" w:val="single"/>
              <w:bottom w:color="000000" w:sz="4" w:val="single"/>
              <w:right w:color="000000" w:sz="4" w:val="single"/>
            </w:tcBorders>
          </w:tcPr>
          <w:p w14:paraId="A7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A8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A9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AA000000">
            <w:pPr>
              <w:ind/>
              <w:jc w:val="center"/>
              <w:rPr>
                <w:color w:val="000000"/>
                <w:sz w:val="24"/>
              </w:rPr>
            </w:pPr>
          </w:p>
        </w:tc>
      </w:tr>
      <w:tr>
        <w:tc>
          <w:tcPr>
            <w:tcW w:type="dxa" w:w="697"/>
            <w:tcBorders>
              <w:top w:color="000000" w:sz="4" w:val="single"/>
              <w:left w:color="000000" w:sz="4" w:val="single"/>
              <w:bottom w:color="000000" w:sz="4" w:val="single"/>
              <w:right w:color="000000" w:sz="4" w:val="single"/>
            </w:tcBorders>
          </w:tcPr>
          <w:p w14:paraId="AB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AC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AD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AE000000">
            <w:pPr>
              <w:ind/>
              <w:jc w:val="center"/>
              <w:rPr>
                <w:color w:val="000000"/>
                <w:sz w:val="24"/>
              </w:rPr>
            </w:pPr>
          </w:p>
        </w:tc>
      </w:tr>
      <w:tr>
        <w:tc>
          <w:tcPr>
            <w:tcW w:type="dxa" w:w="697"/>
            <w:tcBorders>
              <w:top w:color="000000" w:sz="4" w:val="single"/>
              <w:left w:color="000000" w:sz="4" w:val="single"/>
              <w:bottom w:color="000000" w:sz="4" w:val="single"/>
              <w:right w:color="000000" w:sz="4" w:val="single"/>
            </w:tcBorders>
          </w:tcPr>
          <w:p w14:paraId="AF000000">
            <w:pPr>
              <w:pStyle w:val="Style_2"/>
              <w:numPr>
                <w:ilvl w:val="0"/>
                <w:numId w:val="9"/>
              </w:numPr>
              <w:ind/>
              <w:jc w:val="center"/>
              <w:rPr>
                <w:color w:val="000000"/>
                <w:sz w:val="24"/>
              </w:rPr>
            </w:pPr>
          </w:p>
        </w:tc>
        <w:tc>
          <w:tcPr>
            <w:tcW w:type="dxa" w:w="6088"/>
            <w:tcBorders>
              <w:top w:color="000000" w:sz="4" w:val="single"/>
              <w:left w:color="000000" w:sz="4" w:val="single"/>
              <w:bottom w:color="000000" w:sz="4" w:val="single"/>
              <w:right w:color="000000" w:sz="4" w:val="single"/>
            </w:tcBorders>
          </w:tcPr>
          <w:p w14:paraId="B0000000">
            <w:pPr>
              <w:ind/>
              <w:jc w:val="center"/>
              <w:rPr>
                <w:color w:val="000000"/>
                <w:sz w:val="24"/>
              </w:rPr>
            </w:pPr>
          </w:p>
        </w:tc>
        <w:tc>
          <w:tcPr>
            <w:tcW w:type="dxa" w:w="1761"/>
            <w:tcBorders>
              <w:top w:color="000000" w:sz="4" w:val="single"/>
              <w:left w:color="000000" w:sz="4" w:val="single"/>
              <w:bottom w:color="000000" w:sz="4" w:val="single"/>
              <w:right w:color="000000" w:sz="4" w:val="single"/>
            </w:tcBorders>
          </w:tcPr>
          <w:p w14:paraId="B1000000">
            <w:pPr>
              <w:ind/>
              <w:jc w:val="center"/>
              <w:rPr>
                <w:color w:val="000000"/>
                <w:sz w:val="24"/>
              </w:rPr>
            </w:pPr>
          </w:p>
        </w:tc>
        <w:tc>
          <w:tcPr>
            <w:tcW w:type="dxa" w:w="1648"/>
            <w:tcBorders>
              <w:top w:color="000000" w:sz="4" w:val="single"/>
              <w:left w:color="000000" w:sz="4" w:val="single"/>
              <w:bottom w:color="000000" w:sz="4" w:val="single"/>
              <w:right w:color="000000" w:sz="4" w:val="single"/>
            </w:tcBorders>
          </w:tcPr>
          <w:p w14:paraId="B2000000">
            <w:pPr>
              <w:ind/>
              <w:jc w:val="center"/>
              <w:rPr>
                <w:color w:val="000000"/>
                <w:sz w:val="24"/>
              </w:rPr>
            </w:pPr>
          </w:p>
        </w:tc>
      </w:tr>
    </w:tbl>
    <w:p w14:paraId="B3000000">
      <w:pPr>
        <w:ind/>
        <w:jc w:val="center"/>
        <w:rPr>
          <w:color w:val="000000"/>
          <w:sz w:val="24"/>
        </w:rPr>
      </w:pPr>
      <w:r>
        <w:rPr>
          <w:color w:val="000000"/>
          <w:sz w:val="24"/>
        </w:rPr>
        <w:t xml:space="preserve">Классный руководитель </w:t>
      </w:r>
      <w:r>
        <w:rPr>
          <w:color w:val="000000"/>
          <w:sz w:val="24"/>
        </w:rPr>
        <w:tab/>
      </w:r>
      <w:r>
        <w:rPr>
          <w:color w:val="000000"/>
          <w:sz w:val="24"/>
        </w:rPr>
        <w:tab/>
      </w:r>
      <w:r>
        <w:rPr>
          <w:color w:val="000000"/>
          <w:sz w:val="24"/>
        </w:rPr>
        <w:tab/>
      </w:r>
      <w:r>
        <w:rPr>
          <w:color w:val="000000"/>
          <w:sz w:val="24"/>
        </w:rPr>
        <w:tab/>
      </w:r>
      <w:r>
        <w:rPr>
          <w:color w:val="000000"/>
          <w:sz w:val="24"/>
        </w:rPr>
        <w:t xml:space="preserve">    _______________/________________</w:t>
      </w:r>
    </w:p>
    <w:p w14:paraId="B4000000">
      <w:pPr>
        <w:ind w:firstLine="708" w:left="5664"/>
        <w:jc w:val="left"/>
        <w:rPr>
          <w:color w:val="000000"/>
          <w:sz w:val="24"/>
          <w:vertAlign w:val="superscript"/>
        </w:rPr>
      </w:pPr>
      <w:r>
        <w:rPr>
          <w:color w:val="000000"/>
          <w:sz w:val="24"/>
          <w:vertAlign w:val="superscript"/>
        </w:rPr>
        <w:t xml:space="preserve">     (подпись)</w:t>
      </w:r>
      <w:r>
        <w:rPr>
          <w:color w:val="000000"/>
          <w:sz w:val="24"/>
          <w:vertAlign w:val="superscript"/>
        </w:rPr>
        <w:tab/>
      </w:r>
      <w:r>
        <w:rPr>
          <w:color w:val="000000"/>
          <w:sz w:val="24"/>
          <w:vertAlign w:val="superscript"/>
        </w:rPr>
        <w:t xml:space="preserve">         (расшифровка подписи)</w:t>
      </w:r>
    </w:p>
    <w:p w14:paraId="B5000000">
      <w:pPr>
        <w:ind/>
        <w:jc w:val="right"/>
        <w:rPr>
          <w:i w:val="1"/>
          <w:color w:val="000000"/>
          <w:sz w:val="24"/>
        </w:rPr>
      </w:pPr>
    </w:p>
    <w:p w14:paraId="B6000000">
      <w:pPr>
        <w:ind/>
        <w:jc w:val="right"/>
        <w:rPr>
          <w:i w:val="1"/>
          <w:color w:val="000000"/>
          <w:sz w:val="24"/>
        </w:rPr>
      </w:pPr>
      <w:r>
        <w:rPr>
          <w:i w:val="1"/>
          <w:color w:val="000000"/>
          <w:sz w:val="24"/>
        </w:rPr>
        <w:t>Приложение</w:t>
      </w:r>
      <w:r>
        <w:rPr>
          <w:i w:val="1"/>
          <w:color w:val="000000"/>
          <w:sz w:val="24"/>
        </w:rPr>
        <w:t xml:space="preserve"> №</w:t>
      </w:r>
      <w:r>
        <w:rPr>
          <w:i w:val="1"/>
          <w:color w:val="000000"/>
          <w:sz w:val="24"/>
        </w:rPr>
        <w:t xml:space="preserve"> 3</w:t>
      </w:r>
    </w:p>
    <w:p w14:paraId="B7000000">
      <w:pPr>
        <w:ind/>
        <w:jc w:val="center"/>
        <w:rPr>
          <w:b w:val="1"/>
          <w:color w:val="000000"/>
          <w:sz w:val="24"/>
        </w:rPr>
      </w:pPr>
    </w:p>
    <w:p w14:paraId="B8000000">
      <w:pPr>
        <w:ind/>
        <w:jc w:val="center"/>
        <w:rPr>
          <w:b w:val="1"/>
          <w:color w:val="000000"/>
          <w:sz w:val="24"/>
        </w:rPr>
      </w:pPr>
      <w:r>
        <w:rPr>
          <w:b w:val="1"/>
          <w:color w:val="000000"/>
          <w:sz w:val="24"/>
        </w:rPr>
        <w:t>ПАМЯТКА</w:t>
      </w:r>
    </w:p>
    <w:p w14:paraId="B9000000">
      <w:pPr>
        <w:ind/>
        <w:jc w:val="center"/>
        <w:rPr>
          <w:b w:val="1"/>
          <w:color w:val="000000"/>
          <w:sz w:val="24"/>
        </w:rPr>
      </w:pPr>
      <w:r>
        <w:rPr>
          <w:b w:val="1"/>
          <w:color w:val="000000"/>
          <w:sz w:val="24"/>
        </w:rPr>
        <w:t>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w:t>
      </w:r>
    </w:p>
    <w:p w14:paraId="BA000000">
      <w:pPr>
        <w:ind/>
        <w:jc w:val="center"/>
        <w:rPr>
          <w:color w:val="000000"/>
          <w:sz w:val="24"/>
        </w:rPr>
      </w:pPr>
    </w:p>
    <w:p w14:paraId="BB000000">
      <w:pPr>
        <w:pStyle w:val="Style_2"/>
        <w:numPr>
          <w:ilvl w:val="1"/>
          <w:numId w:val="2"/>
        </w:numPr>
        <w:ind w:firstLine="426" w:left="0"/>
        <w:rPr>
          <w:color w:val="000000"/>
          <w:sz w:val="24"/>
        </w:rPr>
      </w:pPr>
      <w:r>
        <w:rPr>
          <w:color w:val="000000"/>
          <w:sz w:val="24"/>
        </w:rPr>
        <w:t>Исключение ношения устройств мобильной связи на шее, поясе, в карманах одежды с целью снижения негативного влияния на здоровье.</w:t>
      </w:r>
    </w:p>
    <w:p w14:paraId="BC000000">
      <w:pPr>
        <w:pStyle w:val="Style_2"/>
        <w:numPr>
          <w:ilvl w:val="1"/>
          <w:numId w:val="2"/>
        </w:numPr>
        <w:ind w:firstLine="426" w:left="0"/>
        <w:rPr>
          <w:color w:val="000000"/>
          <w:sz w:val="24"/>
        </w:rPr>
      </w:pPr>
      <w:r>
        <w:rPr>
          <w:color w:val="000000"/>
          <w:sz w:val="24"/>
        </w:rPr>
        <w:t>Максимальное сокращение времени контакта с устройствами мобильной связи.</w:t>
      </w:r>
    </w:p>
    <w:p w14:paraId="BD000000">
      <w:pPr>
        <w:pStyle w:val="Style_2"/>
        <w:numPr>
          <w:ilvl w:val="1"/>
          <w:numId w:val="2"/>
        </w:numPr>
        <w:ind w:firstLine="426" w:left="0"/>
        <w:rPr>
          <w:color w:val="000000"/>
          <w:sz w:val="24"/>
        </w:rPr>
      </w:pPr>
      <w:r>
        <w:rPr>
          <w:color w:val="000000"/>
          <w:sz w:val="24"/>
        </w:rPr>
        <w:t>Максимальное удаление устройств мобильной связи от головы в момент соединения и разговора (с использованием громкой связи и гарнитуры).</w:t>
      </w:r>
    </w:p>
    <w:p w14:paraId="BE000000">
      <w:pPr>
        <w:pStyle w:val="Style_2"/>
        <w:numPr>
          <w:ilvl w:val="1"/>
          <w:numId w:val="2"/>
        </w:numPr>
        <w:ind w:firstLine="426" w:left="0"/>
        <w:rPr>
          <w:color w:val="000000"/>
          <w:sz w:val="24"/>
        </w:rPr>
      </w:pPr>
      <w:r>
        <w:rPr>
          <w:color w:val="000000"/>
          <w:sz w:val="24"/>
        </w:rPr>
        <w:t>Максимальное ограничение звонков с устройств мобильной связи в условиях неустойчивого приема сигнала мобильной связи (автобус, метро, поезд, автомобиль).</w:t>
      </w:r>
    </w:p>
    <w:p w14:paraId="BF000000">
      <w:pPr>
        <w:pStyle w:val="Style_2"/>
        <w:numPr>
          <w:ilvl w:val="1"/>
          <w:numId w:val="2"/>
        </w:numPr>
        <w:ind w:firstLine="426" w:left="0"/>
        <w:rPr>
          <w:color w:val="000000"/>
          <w:sz w:val="24"/>
        </w:rPr>
      </w:pPr>
      <w:r>
        <w:rPr>
          <w:color w:val="000000"/>
          <w:sz w:val="24"/>
        </w:rPr>
        <w:t>Размещение устройств мобильной связи на ночь на расстоянии более 2 метров от головы.</w:t>
      </w:r>
    </w:p>
    <w:sectPr>
      <w:pgSz w:h="16838" w:orient="portrait" w:w="11906"/>
      <w:pgMar w:bottom="851" w:footer="709" w:gutter="0" w:header="709" w:left="851"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ind w:hanging="360" w:left="1440"/>
      </w:p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decimal"/>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ind/>
      <w:jc w:val="both"/>
    </w:pPr>
    <w:rPr>
      <w:sz w:val="22"/>
    </w:rPr>
  </w:style>
  <w:style w:default="1" w:styleId="Style_3_ch" w:type="character">
    <w:name w:val="Normal"/>
    <w:link w:val="Style_3"/>
    <w:rPr>
      <w:sz w:val="22"/>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Balloon Text"/>
    <w:basedOn w:val="Style_3"/>
    <w:link w:val="Style_7_ch"/>
    <w:rPr>
      <w:rFonts w:ascii="Segoe UI" w:hAnsi="Segoe UI"/>
      <w:sz w:val="18"/>
    </w:rPr>
  </w:style>
  <w:style w:styleId="Style_7_ch" w:type="character">
    <w:name w:val="Balloon Text"/>
    <w:basedOn w:val="Style_3_ch"/>
    <w:link w:val="Style_7"/>
    <w:rPr>
      <w:rFonts w:ascii="Segoe UI" w:hAnsi="Segoe UI"/>
      <w:sz w:val="1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basedOn w:val="Style_3"/>
    <w:link w:val="Style_10_ch"/>
    <w:uiPriority w:val="9"/>
    <w:qFormat/>
    <w:pPr>
      <w:spacing w:afterAutospacing="on" w:beforeAutospacing="on"/>
      <w:ind/>
      <w:jc w:val="left"/>
      <w:outlineLvl w:val="2"/>
    </w:pPr>
    <w:rPr>
      <w:b w:val="1"/>
      <w:sz w:val="27"/>
    </w:rPr>
  </w:style>
  <w:style w:styleId="Style_10_ch" w:type="character">
    <w:name w:val="heading 3"/>
    <w:basedOn w:val="Style_3_ch"/>
    <w:link w:val="Style_10"/>
    <w:rPr>
      <w:b w:val="1"/>
      <w:sz w:val="27"/>
    </w:rPr>
  </w:style>
  <w:style w:styleId="Style_11" w:type="paragraph">
    <w:basedOn w:val="Style_3"/>
    <w:next w:val="Style_3"/>
    <w:link w:val="Style_11_ch"/>
    <w:semiHidden w:val="1"/>
    <w:unhideWhenUsed w:val="1"/>
    <w:pPr>
      <w:ind/>
      <w:jc w:val="center"/>
    </w:pPr>
    <w:rPr>
      <w:rFonts w:ascii="Arial" w:hAnsi="Arial"/>
      <w:sz w:val="16"/>
    </w:rPr>
  </w:style>
  <w:style w:styleId="Style_11_ch" w:type="character">
    <w:basedOn w:val="Style_3_ch"/>
    <w:link w:val="Style_11"/>
    <w:semiHidden w:val="1"/>
    <w:unhideWhenUsed w:val="1"/>
    <w:rPr>
      <w:rFonts w:ascii="Arial" w:hAnsi="Arial"/>
      <w:sz w:val="16"/>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views-label"/>
    <w:basedOn w:val="Style_14"/>
    <w:link w:val="Style_13_ch"/>
  </w:style>
  <w:style w:styleId="Style_13_ch" w:type="character">
    <w:name w:val="views-label"/>
    <w:basedOn w:val="Style_14_ch"/>
    <w:link w:val="Style_13"/>
  </w:style>
  <w:style w:styleId="Style_14" w:type="paragraph">
    <w:name w:val="Default Paragraph Font"/>
    <w:link w:val="Style_14_ch"/>
  </w:style>
  <w:style w:styleId="Style_14_ch" w:type="character">
    <w:name w:val="Default Paragraph Font"/>
    <w:link w:val="Style_14"/>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3"/>
    <w:link w:val="Style_16_ch"/>
    <w:uiPriority w:val="9"/>
    <w:qFormat/>
    <w:pPr>
      <w:spacing w:afterAutospacing="on" w:beforeAutospacing="on"/>
      <w:ind/>
      <w:jc w:val="left"/>
      <w:outlineLvl w:val="0"/>
    </w:pPr>
    <w:rPr>
      <w:b w:val="1"/>
      <w:sz w:val="48"/>
    </w:rPr>
  </w:style>
  <w:style w:styleId="Style_16_ch" w:type="character">
    <w:name w:val="heading 1"/>
    <w:basedOn w:val="Style_3_ch"/>
    <w:link w:val="Style_16"/>
    <w:rPr>
      <w:b w:val="1"/>
      <w:sz w:val="4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Strong"/>
    <w:link w:val="Style_21_ch"/>
    <w:rPr>
      <w:b w:val="1"/>
    </w:rPr>
  </w:style>
  <w:style w:styleId="Style_21_ch" w:type="character">
    <w:name w:val="Strong"/>
    <w:link w:val="Style_21"/>
    <w:rPr>
      <w:b w:val="1"/>
    </w:rPr>
  </w:style>
  <w:style w:styleId="Style_22" w:type="paragraph">
    <w:name w:val="Emphasis"/>
    <w:link w:val="Style_22_ch"/>
    <w:rPr>
      <w:i w:val="1"/>
    </w:rPr>
  </w:style>
  <w:style w:styleId="Style_22_ch" w:type="character">
    <w:name w:val="Emphasis"/>
    <w:link w:val="Style_22"/>
    <w:rPr>
      <w:i w:val="1"/>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basedOn w:val="Style_3"/>
    <w:next w:val="Style_3"/>
    <w:link w:val="Style_24_ch"/>
    <w:semiHidden w:val="1"/>
    <w:unhideWhenUsed w:val="1"/>
    <w:pPr>
      <w:ind/>
      <w:jc w:val="center"/>
    </w:pPr>
    <w:rPr>
      <w:rFonts w:ascii="Arial" w:hAnsi="Arial"/>
      <w:sz w:val="16"/>
    </w:rPr>
  </w:style>
  <w:style w:styleId="Style_24_ch" w:type="character">
    <w:basedOn w:val="Style_3_ch"/>
    <w:link w:val="Style_24"/>
    <w:semiHidden w:val="1"/>
    <w:unhideWhenUsed w:val="1"/>
    <w:rPr>
      <w:rFonts w:ascii="Arial" w:hAnsi="Arial"/>
      <w:sz w:val="16"/>
    </w:rPr>
  </w:style>
  <w:style w:styleId="Style_25" w:type="paragraph">
    <w:name w:val="toc 8"/>
    <w:next w:val="Style_3"/>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field-content"/>
    <w:basedOn w:val="Style_14"/>
    <w:link w:val="Style_26_ch"/>
  </w:style>
  <w:style w:styleId="Style_26_ch" w:type="character">
    <w:name w:val="field-content"/>
    <w:basedOn w:val="Style_14_ch"/>
    <w:link w:val="Style_26"/>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Обычный (веб)"/>
    <w:basedOn w:val="Style_3"/>
    <w:link w:val="Style_29_ch"/>
    <w:pPr>
      <w:spacing w:afterAutospacing="on" w:beforeAutospacing="on"/>
      <w:ind/>
      <w:jc w:val="left"/>
    </w:pPr>
    <w:rPr>
      <w:sz w:val="24"/>
    </w:rPr>
  </w:style>
  <w:style w:styleId="Style_29_ch" w:type="character">
    <w:name w:val="Обычный (веб)"/>
    <w:basedOn w:val="Style_3_ch"/>
    <w:link w:val="Style_29"/>
    <w:rPr>
      <w:sz w:val="24"/>
    </w:rPr>
  </w:style>
  <w:style w:styleId="Style_30" w:type="paragraph">
    <w:name w:val="uc-price"/>
    <w:basedOn w:val="Style_14"/>
    <w:link w:val="Style_30_ch"/>
  </w:style>
  <w:style w:styleId="Style_30_ch" w:type="character">
    <w:name w:val="uc-price"/>
    <w:basedOn w:val="Style_14_ch"/>
    <w:link w:val="Style_30"/>
  </w:style>
  <w:style w:styleId="Style_31" w:type="paragraph">
    <w:name w:val="Title"/>
    <w:next w:val="Style_3"/>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3"/>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basedOn w:val="Style_3"/>
    <w:link w:val="Style_33_ch"/>
    <w:uiPriority w:val="9"/>
    <w:qFormat/>
    <w:pPr>
      <w:spacing w:afterAutospacing="on" w:beforeAutospacing="on"/>
      <w:ind/>
      <w:jc w:val="left"/>
      <w:outlineLvl w:val="1"/>
    </w:pPr>
    <w:rPr>
      <w:b w:val="1"/>
      <w:sz w:val="36"/>
    </w:rPr>
  </w:style>
  <w:style w:styleId="Style_33_ch" w:type="character">
    <w:name w:val="heading 2"/>
    <w:basedOn w:val="Style_3_ch"/>
    <w:link w:val="Style_33"/>
    <w:rPr>
      <w:b w:val="1"/>
      <w:sz w:val="36"/>
    </w:rPr>
  </w:style>
  <w:style w:styleId="Style_34" w:type="paragraph">
    <w:name w:val="text-download"/>
    <w:basedOn w:val="Style_14"/>
    <w:link w:val="Style_34_ch"/>
  </w:style>
  <w:style w:styleId="Style_34_ch" w:type="character">
    <w:name w:val="text-download"/>
    <w:basedOn w:val="Style_14_ch"/>
    <w:link w:val="Style_34"/>
  </w:style>
  <w:style w:default="1" w:styleId="Style_1" w:type="table">
    <w:name w:val="Normal Table"/>
    <w:tblPr>
      <w:tblInd w:type="dxa" w:w="0"/>
      <w:tblCellMar>
        <w:top w:type="dxa" w:w="0"/>
        <w:left w:type="dxa" w:w="108"/>
        <w:bottom w:type="dxa" w:w="0"/>
        <w:right w:type="dxa" w:w="108"/>
      </w:tblCellMar>
    </w:tblPr>
  </w:style>
  <w:style w:styleId="Style_35"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6" w:type="table">
    <w:name w:val="Сетка таблицы1"/>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2024-04-24T07:34:52Z</dcterms:modified>
</cp:coreProperties>
</file>